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045C" w:rsidRDefault="00A7045C" w:rsidP="00A7045C">
      <w:pPr>
        <w:pStyle w:val="NormalWeb"/>
        <w:bidi/>
        <w:jc w:val="center"/>
        <w:rPr>
          <w:rFonts w:ascii="Noor_Titr" w:hAnsi="Noor_Titr" w:cs="Noor_Titr"/>
          <w:color w:val="000000"/>
          <w:sz w:val="2"/>
          <w:szCs w:val="2"/>
          <w:lang w:bidi="fa-IR"/>
        </w:rPr>
      </w:pPr>
      <w:r>
        <w:rPr>
          <w:rFonts w:ascii="Noor_Titr" w:hAnsi="Noor_Titr" w:cs="Noor_Titr" w:hint="cs"/>
          <w:color w:val="286564"/>
          <w:sz w:val="27"/>
          <w:szCs w:val="27"/>
          <w:rtl/>
          <w:lang w:bidi="fa-IR"/>
        </w:rPr>
        <w:t>الاجتهاد و التقليد (للإمام الخميني)؛ النص، ص: 119</w:t>
      </w:r>
    </w:p>
    <w:p w:rsidR="00A7045C" w:rsidRDefault="00A7045C" w:rsidP="00A7045C">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الاجتهاد و التقليد (للإمام الخميني)، النص، ص: 119‌</w:t>
      </w:r>
    </w:p>
    <w:p w:rsidR="00A7045C" w:rsidRDefault="00A7045C" w:rsidP="00A7045C">
      <w:pPr>
        <w:bidi/>
        <w:rPr>
          <w:rFonts w:ascii="Noor_Titr" w:hAnsi="Noor_Titr" w:cs="Noor_Titr" w:hint="cs"/>
          <w:color w:val="286564"/>
          <w:sz w:val="27"/>
          <w:szCs w:val="27"/>
          <w:rtl/>
          <w:lang w:bidi="fa-IR"/>
        </w:rPr>
      </w:pPr>
      <w:r>
        <w:rPr>
          <w:rFonts w:ascii="Noor_NazliBold" w:hAnsi="Noor_NazliBold" w:cs="Noor_Lotus" w:hint="cs"/>
          <w:color w:val="6C3A00"/>
          <w:sz w:val="27"/>
          <w:szCs w:val="27"/>
          <w:rtl/>
          <w:lang w:bidi="fa-IR"/>
        </w:rPr>
        <w:t>الفصل الثاني في أ نّه هل تشترط الحياة في المفتي أم لا؟</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اختلفوا في اشتراط الحياة في المفتي على أقوال</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ثالثها: التفصيل بين البدويّ والاستمراريّ</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لا إشكال في أنّ الأصل الأوّلي حرمة العمل بما وراء العلم، خرج عنه العمل بفتوى الحيّ، وبقي غيره، فلابدّ من الخروج عنه من دليل التمسك بالاستصحاب لإثبات الجواز. ولمّا كان عمدة ما يمكن أن يعوّل عليه هو الاستصحاب، فلابدّ من تقريره وتحقيقه.</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راجع الوافية في اصول الفقه: 299- 308، مفاتيح الاصول: 618- 619.</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الفصول الغرويّة: 422 سطر 28، العروة الوثقىٰ 1: 10 مسألة 9.</w:t>
      </w:r>
    </w:p>
    <w:p w:rsidR="00A7045C" w:rsidRDefault="00A7045C" w:rsidP="00A7045C">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الاجتهاد و التقليد (للإمام الخميني)، النص، ص: 120‌</w:t>
      </w:r>
    </w:p>
    <w:p w:rsidR="00A7045C" w:rsidRDefault="00A7045C" w:rsidP="00A7045C">
      <w:pPr>
        <w:bidi/>
        <w:rPr>
          <w:rFonts w:ascii="Noor_Titr" w:hAnsi="Noor_Titr" w:cs="Noor_Titr" w:hint="cs"/>
          <w:color w:val="286564"/>
          <w:sz w:val="27"/>
          <w:szCs w:val="27"/>
          <w:rtl/>
          <w:lang w:bidi="fa-IR"/>
        </w:rPr>
      </w:pPr>
      <w:r>
        <w:rPr>
          <w:rFonts w:ascii="Noor_NazliBold" w:hAnsi="Noor_NazliBold" w:cs="Noor_Lotus" w:hint="cs"/>
          <w:color w:val="6C3A00"/>
          <w:sz w:val="27"/>
          <w:szCs w:val="27"/>
          <w:rtl/>
          <w:lang w:bidi="fa-IR"/>
        </w:rPr>
        <w:t>التمسّك بالاستصحاب على الجواز</w:t>
      </w:r>
      <w:r>
        <w:rPr>
          <w:rFonts w:ascii="Noor_Lotus" w:hAnsi="Noor_Lotus" w:cs="Noor_Lotus" w:hint="cs"/>
          <w:color w:val="000000"/>
          <w:sz w:val="30"/>
          <w:szCs w:val="30"/>
          <w:lang w:bidi="fa-IR"/>
        </w:rPr>
        <w:t>‌</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فنقول:</w:t>
      </w:r>
      <w:r>
        <w:rPr>
          <w:rFonts w:ascii="Noor_Lotus" w:hAnsi="Noor_Lotus" w:cs="Noor_Lotus" w:hint="cs"/>
          <w:color w:val="000000"/>
          <w:sz w:val="30"/>
          <w:szCs w:val="30"/>
          <w:rtl/>
          <w:lang w:bidi="fa-IR"/>
        </w:rPr>
        <w:t xml:space="preserve"> قد قرّر الأصل بوجوه:</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منها:</w:t>
      </w:r>
      <w:r>
        <w:rPr>
          <w:rFonts w:ascii="Noor_Lotus" w:hAnsi="Noor_Lotus" w:cs="Noor_Lotus" w:hint="cs"/>
          <w:color w:val="000000"/>
          <w:sz w:val="30"/>
          <w:szCs w:val="30"/>
          <w:rtl/>
          <w:lang w:bidi="fa-IR"/>
        </w:rPr>
        <w:t xml:space="preserve"> أنّ المجتهد الفلانيّ، كان جائز التقليد لكلّ مكلّف عامّي في زمان حياته، فيستصحب إلىٰ ما بعد موته.</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ومنها:</w:t>
      </w:r>
      <w:r>
        <w:rPr>
          <w:rFonts w:ascii="Noor_Lotus" w:hAnsi="Noor_Lotus" w:cs="Noor_Lotus" w:hint="cs"/>
          <w:color w:val="000000"/>
          <w:sz w:val="30"/>
          <w:szCs w:val="30"/>
          <w:rtl/>
          <w:lang w:bidi="fa-IR"/>
        </w:rPr>
        <w:t xml:space="preserve"> أنّ الأخذ بفتوى المجتهد الفلانيّ، كان جائزاً في زمان حياته فيستصحب.</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ومنها:</w:t>
      </w:r>
      <w:r>
        <w:rPr>
          <w:rFonts w:ascii="Noor_Lotus" w:hAnsi="Noor_Lotus" w:cs="Noor_Lotus" w:hint="cs"/>
          <w:color w:val="000000"/>
          <w:sz w:val="30"/>
          <w:szCs w:val="30"/>
          <w:rtl/>
          <w:lang w:bidi="fa-IR"/>
        </w:rPr>
        <w:t xml:space="preserve"> أنّ لكلّ مقلِّد جواز الرجوع إليه في زمان حياته، وبعدها كما كان.</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إلى غير ذلك من الوجوه المتقاربة</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lastRenderedPageBreak/>
        <w:t>وقد يستشكل:</w:t>
      </w:r>
      <w:r>
        <w:rPr>
          <w:rFonts w:ascii="Noor_Lotus" w:hAnsi="Noor_Lotus" w:cs="Noor_Lotus" w:hint="cs"/>
          <w:color w:val="000000"/>
          <w:sz w:val="30"/>
          <w:szCs w:val="30"/>
          <w:rtl/>
          <w:lang w:bidi="fa-IR"/>
        </w:rPr>
        <w:t xml:space="preserve"> بأنّ جواز التقليد لكلّ بالغ عاقل، إن كان بنحو القضيّة الخارجيّة؛ بمعنىٰ أنّ كلّ مكلّف كان موجوداً في زمانه جاز له الرجوع إليه، فلا يفيد بالنسبة إلى الموجودين بعد حياته في الأعصار المتأخّرة، وبعبارة اخرىٰ:</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الدليل أخصّ من المدّعىٰ.</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وإن كان بنحو القضيّة الحقيقيّة؛ أي «كلّ من وجد في الخارج، وكان مكلّفاً في كلّ زمان، كان له تقليد المجتهد الفلاني» فإن اريد إجراء الاستصحاب التنجيزيّ فلا يمكن؛ لعدم إدراك المتأخّرين زمان حياته، فلا يقين بالنسبة إليهم.</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راجع الفصول الغرويّة: 422 سطر 30، مفاتيح الاصول: 624 سطر 15، مطارح الأنظار: 259 سطر 15، درر الفوائد: 704، مقالات الاصول 2: 208 سطر 12، رسالة الاجتهاد والتقليد، المحقّق الأصفهاني، ضمن بحوث في الاصول: 21، مستمسك العروة الوثقى 1: 15.</w:t>
      </w:r>
    </w:p>
    <w:p w:rsidR="00A7045C" w:rsidRDefault="00A7045C" w:rsidP="00A7045C">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الاجتهاد و التقليد (للإمام الخميني)، النص، ص: 121‌</w:t>
      </w:r>
    </w:p>
    <w:p w:rsidR="00A7045C" w:rsidRDefault="00A7045C" w:rsidP="00A7045C">
      <w:pPr>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وإن كان بنحو التعليق، فإجراء الاستصحاب التعليقيّ بهذا النحو محلّ منع.</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وفيه:</w:t>
      </w:r>
      <w:r>
        <w:rPr>
          <w:rFonts w:ascii="Noor_Lotus" w:hAnsi="Noor_Lotus" w:cs="Noor_Lotus" w:hint="cs"/>
          <w:color w:val="000000"/>
          <w:sz w:val="30"/>
          <w:szCs w:val="30"/>
          <w:rtl/>
          <w:lang w:bidi="fa-IR"/>
        </w:rPr>
        <w:t xml:space="preserve"> أنّ جعل الأحكام للعناوين على نحو القضيّة الحقيقيّة، ليس معناه أنّ لكلّ فرد من مصاديق العنوان، حكماً مجعولًا برأسه، ومعنى الانحلال إلى الأحكام ليس ذلك، بل لايكون في القضايا الحقيقيّة إلّاجعل واحد لعنوان واحد، لا جعلات كثيرة بعدد أنفاس المكلّفين، لكن ذاك الجعل الواحد يكون حجّة- بحكم العقل والعقلاء- على كلّ من كان مصداقاً للعنوان.</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مثلًا قوله تعالى:</w:t>
      </w:r>
      <w:r>
        <w:rPr>
          <w:rFonts w:ascii="Noor_Lotus" w:hAnsi="Noor_Lotus" w:cs="me_quran" w:hint="cs"/>
          <w:color w:val="008000"/>
          <w:sz w:val="26"/>
          <w:szCs w:val="26"/>
          <w:rtl/>
          <w:lang w:bidi="fa-IR"/>
        </w:rPr>
        <w:t xml:space="preserve"> «وَ لِلّٰهِ عَلَى النّٰاسِ حِجُّ الْبَيْتِ مَنِ اسْتَطٰاعَ إِلَيْهِ سَبِيلًا»</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ليس إلّاجعلًا واحداً لعنوان واحد هو</w:t>
      </w:r>
      <w:r>
        <w:rPr>
          <w:rFonts w:ascii="Noor_Lotus" w:hAnsi="Noor_Lotus" w:cs="me_quran" w:hint="cs"/>
          <w:color w:val="008000"/>
          <w:sz w:val="26"/>
          <w:szCs w:val="26"/>
          <w:rtl/>
          <w:lang w:bidi="fa-IR"/>
        </w:rPr>
        <w:t xml:space="preserve"> «مَنِ اسْتَطٰاعَ»</w:t>
      </w:r>
      <w:r>
        <w:rPr>
          <w:rFonts w:ascii="Noor_Lotus" w:hAnsi="Noor_Lotus" w:cs="Noor_Lotus" w:hint="cs"/>
          <w:color w:val="000000"/>
          <w:sz w:val="30"/>
          <w:szCs w:val="30"/>
          <w:rtl/>
          <w:lang w:bidi="fa-IR"/>
        </w:rPr>
        <w:t xml:space="preserve"> ولكنّه حجّة على كلّ مكلّف مستطيع، فحينئذٍ لو علمنا بأنّ الحجّ كان واجباً علىٰ</w:t>
      </w:r>
      <w:r>
        <w:rPr>
          <w:rFonts w:ascii="Noor_Lotus" w:hAnsi="Noor_Lotus" w:cs="me_quran" w:hint="cs"/>
          <w:color w:val="008000"/>
          <w:sz w:val="26"/>
          <w:szCs w:val="26"/>
          <w:rtl/>
          <w:lang w:bidi="fa-IR"/>
        </w:rPr>
        <w:t xml:space="preserve"> مَنِ اسْتَطٰاعَ إِلَيْهِ سَبِيلًا</w:t>
      </w:r>
      <w:r>
        <w:rPr>
          <w:rFonts w:ascii="Noor_Lotus" w:hAnsi="Noor_Lotus" w:cs="Noor_Lotus" w:hint="cs"/>
          <w:color w:val="000000"/>
          <w:sz w:val="30"/>
          <w:szCs w:val="30"/>
          <w:rtl/>
          <w:lang w:bidi="fa-IR"/>
        </w:rPr>
        <w:t>، وشككنا في بقائه؛ من أجل طروّ النسخ مثلًا، فلا إشكال في جريان استصحاب الحكم المتعلّق بالعنوان لنفس ذلك العنوان، فيصير- بحكم الاستصحاب- حجّةً علىٰ كلّ من كان مصداقه.</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ولهذا لايستشكل أحد في استصحاب عدم النسخ، مع ورود هذا الإشكال بعينه عليه، بل على جميع الاستصحابات الحكميّة.</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والسّر فيه ما ذكرنا:</w:t>
      </w:r>
      <w:r>
        <w:rPr>
          <w:rFonts w:ascii="Noor_Lotus" w:hAnsi="Noor_Lotus" w:cs="Noor_Lotus" w:hint="cs"/>
          <w:color w:val="000000"/>
          <w:sz w:val="30"/>
          <w:szCs w:val="30"/>
          <w:rtl/>
          <w:lang w:bidi="fa-IR"/>
        </w:rPr>
        <w:t xml:space="preserve"> من أنّ الحكم على العنوان، حجّة على المعنونات، فاستصحاب وجوب الحجّ على عنوان «المستطيع» جارٍ بلا إشكال، كاستصحاب جواز رجوع كلّ مقلِّد إلى المجتهد الفلانيّ، وسيأتي كلام في هذا الاستصحاب‌</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آل عمران (3): 97.</w:t>
      </w:r>
    </w:p>
    <w:p w:rsidR="00A7045C" w:rsidRDefault="00A7045C" w:rsidP="00A7045C">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الاجتهاد و التقليد (للإمام الخميني)، النص، ص: 122‌</w:t>
      </w:r>
    </w:p>
    <w:p w:rsidR="00A7045C" w:rsidRDefault="00A7045C" w:rsidP="00A7045C">
      <w:pPr>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فانتظر</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A7045C" w:rsidRDefault="00A7045C" w:rsidP="00A7045C">
      <w:pPr>
        <w:pStyle w:val="NormalWeb"/>
        <w:bidi/>
        <w:rPr>
          <w:rFonts w:ascii="Noor_Titr" w:hAnsi="Noor_Titr" w:cs="Noor_Titr" w:hint="cs"/>
          <w:color w:val="286564"/>
          <w:sz w:val="27"/>
          <w:szCs w:val="27"/>
          <w:rtl/>
          <w:lang w:bidi="fa-IR"/>
        </w:rPr>
      </w:pPr>
      <w:r>
        <w:rPr>
          <w:rFonts w:ascii="Noor_NazliBold" w:hAnsi="Noor_NazliBold" w:cs="Noor_Lotus" w:hint="cs"/>
          <w:color w:val="6C3A00"/>
          <w:sz w:val="27"/>
          <w:szCs w:val="27"/>
          <w:rtl/>
          <w:lang w:bidi="fa-IR"/>
        </w:rPr>
        <w:t>إشكال عدم بقاء موضوع الاستصحاب والجواب عنه</w:t>
      </w:r>
      <w:r>
        <w:rPr>
          <w:rFonts w:ascii="Noor_Lotus" w:hAnsi="Noor_Lotus" w:cs="Noor_Lotus" w:hint="cs"/>
          <w:color w:val="000000"/>
          <w:sz w:val="30"/>
          <w:szCs w:val="30"/>
          <w:lang w:bidi="fa-IR"/>
        </w:rPr>
        <w:t>‌</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فالعمدة في المقام هو الإشكال المعروف؛ أي عدم بقاء الموضوع.</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وتقريره:</w:t>
      </w:r>
      <w:r>
        <w:rPr>
          <w:rFonts w:ascii="Noor_Lotus" w:hAnsi="Noor_Lotus" w:cs="Noor_Lotus" w:hint="cs"/>
          <w:color w:val="000000"/>
          <w:sz w:val="30"/>
          <w:szCs w:val="30"/>
          <w:rtl/>
          <w:lang w:bidi="fa-IR"/>
        </w:rPr>
        <w:t xml:space="preserve"> أنّه لابدّ في الاستصحاب من وحدة القضيّة المتيقّنة والمشكوك فيها، و موضوع القضيّة هو «رأي المجتهد وفتواه» وهو أمر قائم بنفس الحيّ، وبعد موته لايتّصف- بحسب نظر العرف المعتبر في المقام- بعلم ولا ظنّ، ولا رأي له بحسبه ولا فتوى.</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ولا أقلّ من الشكّ في ذلك، ومعه أيضاً لا مجال للاستصحاب؛ لأنّ إحراز الموضوع شرط في جريانه، ولا إشكال في أنّ مدار الفتوىٰ هو الظنّ الاجتهاديّ، ولهذا يقع المظنون- بما هو كذلك- وسطاً في قياس الاستنباط، ولا إشكال في عدم إحراز الموضوع، بل في عدم بقائه</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وفيه:</w:t>
      </w:r>
      <w:r>
        <w:rPr>
          <w:rFonts w:ascii="Noor_Lotus" w:hAnsi="Noor_Lotus" w:cs="Noor_Lotus" w:hint="cs"/>
          <w:color w:val="000000"/>
          <w:sz w:val="30"/>
          <w:szCs w:val="30"/>
          <w:rtl/>
          <w:lang w:bidi="fa-IR"/>
        </w:rPr>
        <w:t xml:space="preserve"> أنّ مناط عمل العقلاء علىٰ رأي كلّ ذي صنعة في صنعته، هو أماريّته وطريقيّته إلى الواقع، وهو المناط في فتوى الفقهاء، سواءً أكان دليل اعتباره بناء العقلاء الممضىٰ، أو الأدلّة اللّفظية؛ فإنّ مفادها أيضاً كذلك، ففتوى الفقيه بأنّ صلاة الجمعة واجبة، طريق إلى الحكم الشرعيّ وحجّة عليه، وإنّما تتقوّم طريقيّتها وطريقيّة كلّ رأي خبير إلى الواقع، إذا أفتى وأخبر بنحو الجزم.</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يأتي في الصفحة 126- 130.</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مطارح الأنظار: 259- 260.</w:t>
      </w:r>
    </w:p>
    <w:p w:rsidR="00A7045C" w:rsidRDefault="00A7045C" w:rsidP="00A7045C">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الاجتهاد و التقليد (للإمام الخميني)، النص، ص: 123‌</w:t>
      </w:r>
    </w:p>
    <w:p w:rsidR="00A7045C" w:rsidRDefault="00A7045C" w:rsidP="00A7045C">
      <w:pPr>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لكنّ الوجود الحدوثيّ للفتوىٰ بنحو الجزم، يوجب كونها طريقاً إلى الواقع أبداً، ولاينسلخ عنها ذلك إلّابتجدّد رأيه، أو الترديد فيه، وإلّا فهي طريق إلى الواقع، كان صاحب الرأي حيّاً أو ميّتاً.</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فإذا شككنا في جواز العمل به؛ من حيث احتمال دخالة الحياة شرعاً في جوازه، فلا إشكال في جريان الاستصحاب، ووحدةِ القضيّة المتيقّنة والمشكوك فيها، فرأي العلّامة وقوله وكتاب «قواعده» كلّ كاشف عن الأحكام الواقعيّة، ووجوده الحدوثيّ كافٍ في كونه طريقاً، وهو المناط في جواز العمل شرعاً ولدى العقلاء.</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وإن شئت قلت:</w:t>
      </w:r>
      <w:r>
        <w:rPr>
          <w:rFonts w:ascii="Noor_Lotus" w:hAnsi="Noor_Lotus" w:cs="Noor_Lotus" w:hint="cs"/>
          <w:color w:val="000000"/>
          <w:sz w:val="30"/>
          <w:szCs w:val="30"/>
          <w:rtl/>
          <w:lang w:bidi="fa-IR"/>
        </w:rPr>
        <w:t xml:space="preserve"> جزم العلّامة أو إظهار فتواه جزماً، جعل كتابه حجّة، وطريقاً إلى الواقع، وجائزَ العمل في زمان حياته، ويشكّ في جواز العمل على طبقه بعد موته، فيستصحب.</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والعجب من الشيخ الأعظم</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حيث اعترف بأنَّ الفتوىٰ إذا كانت عبارة‌</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الشيخ الأعظم: هو الاستاذ الإمام المؤسّس، والفقيه الاصوليّ المتبحّر، شيخ مشايخ الإماميّة؛ مرتضى ابن الشيخ محمّد أمين الأنصاريّ التستريّ الدزفوليّ النجفيّ. ولد سنة 1214 ه‍. ودرس عند السيّد المجاهد، وشريف العلماء، والشيخين موسى وعليّ كاشف الغطاء، والموسىٰ النراقيّ وجمع بين الحفظ وسرعة الانتقال، واستقامة الذهن، وجودة الرأي، فلم يعيه حلّ مشكلة، ولا جواب مسألة، وكان يُضرب به المثل في زهده، وتقواه، وورعه، وعبادته، وقداسته، عالي الهمة أبيّاً. وقد انتهت إليه رئاسة الإماميّة على الإطلاق، وأطبقت الشيعة على تقليده في شرق الأرض وغربها، وكان له في التدريس والتأليف طريق خاصّ؛ لما تمتّع به من طلاقة في القول، وفصاحة في النطق، وحسن تقريب آراء المحقّقين، وهو واضع أساس علم الاصول الحديث عند الشيعة، وطريقته الشهيرة المعروفة. أبرز تلامذته السيّد المجدّد الشيرازي، والميرزا حبيب اللّٰه الرشتي، والآخوند الخراساني. له مصنّفات مشهورة، صارت مدار حركة التدريس في حال حياته إلى يومنا هذا ألا وهي المكاسب والفرائد، بالإضافة إلى كتاب في الطهارة، وآخر في الصلاة ... توفّي رحمه الله سنة 1281 ه‍.</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انظر معارف الرجال 2: 399- 404، وأعيان الشيعة 10: 117- 119.</w:t>
      </w:r>
    </w:p>
    <w:p w:rsidR="00A7045C" w:rsidRDefault="00A7045C" w:rsidP="00A7045C">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الاجتهاد و التقليد (للإمام الخميني)، النص، ص: 124‌</w:t>
      </w:r>
    </w:p>
    <w:p w:rsidR="00A7045C" w:rsidRDefault="00A7045C" w:rsidP="00A7045C">
      <w:pPr>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عن نقل الأخبار بالمعنىٰ، يتمّ القول: بأنّ القول موضوع للحكم، ويجري الاستصحاب معه</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مع أنّ حجّية الأخبار وطريقيّتها إلى الواقع، أيضاً متقوّمتان بجزم الراوي، فلو أخبر أحد الرواة بيننا وبين المعصوم بنحو الترديد، لا يصير خبره أمارة وحجّة على الواقع، ولاجائز العمل.</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لكن مع إخباره جزماً، يصير كاشفاً عنه، وجائز العمل ما دام كونه كذلك، سواءً أكان مخبره حيّاً أو ميّتاً، مع عدم بقاء جزمه بعد الموت، لكنّ جزمه حين الإخبار كافٍ في جواز العمل وحجّية قوله دائماً، إلّاإذا رجع عن إخباره الجزميّ.</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وهذا جارٍ في الفتوىٰ طابق النعل بالنعل، فقول الفقيه حجة على الواقع وطريق إليه، كإخبار المخبر، وهو باقٍ على طريقيّته بعد الموت، ولو شكّ في جواز العمل به- لأجل احتمال اشتراط الحياة شرعاً- جاز استصحابه، وتمّت أركانه.</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وإن شئت قلت:</w:t>
      </w:r>
      <w:r>
        <w:rPr>
          <w:rFonts w:ascii="Noor_Lotus" w:hAnsi="Noor_Lotus" w:cs="Noor_Lotus" w:hint="cs"/>
          <w:color w:val="000000"/>
          <w:sz w:val="30"/>
          <w:szCs w:val="30"/>
          <w:rtl/>
          <w:lang w:bidi="fa-IR"/>
        </w:rPr>
        <w:t xml:space="preserve"> إنّ جزم الفقيه أو إظهاره الفتوىٰ علىٰ سبيل الجزم، واسطة في حدوث جواز العمل بقوله وكتابه، وبعد موته نشكّ في بقاء الجواز؛ لأجل الشكّ‌</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مطارح الأنظار: 260 سطر 6.</w:t>
      </w:r>
    </w:p>
    <w:p w:rsidR="00A7045C" w:rsidRDefault="00A7045C" w:rsidP="00A7045C">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الاجتهاد و التقليد (للإمام الخميني)، النص، ص: 125‌</w:t>
      </w:r>
    </w:p>
    <w:p w:rsidR="00A7045C" w:rsidRDefault="00A7045C" w:rsidP="00A7045C">
      <w:pPr>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في كونه واسطة في العروض أو الثبوت، فيستصحب.</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وأمّا ما أفاد:</w:t>
      </w:r>
      <w:r>
        <w:rPr>
          <w:rFonts w:ascii="Noor_Lotus" w:hAnsi="Noor_Lotus" w:cs="Noor_Lotus" w:hint="cs"/>
          <w:color w:val="000000"/>
          <w:sz w:val="30"/>
          <w:szCs w:val="30"/>
          <w:rtl/>
          <w:lang w:bidi="fa-IR"/>
        </w:rPr>
        <w:t xml:space="preserve"> من كون الوسط في قياس الاستنباط هو المظنون بما هو كذلك، وأنّ مظنون الحرمة حرام، أو مظنون الحكم واجب العمل</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ففيه:</w:t>
      </w:r>
      <w:r>
        <w:rPr>
          <w:rFonts w:ascii="Noor_Lotus" w:hAnsi="Noor_Lotus" w:cs="Noor_Lotus" w:hint="cs"/>
          <w:color w:val="000000"/>
          <w:sz w:val="30"/>
          <w:szCs w:val="30"/>
          <w:rtl/>
          <w:lang w:bidi="fa-IR"/>
        </w:rPr>
        <w:t xml:space="preserve"> أنّ إطلاق «الحجّة» على الأمارات، ليس باعتبار وقوعها وسطاً في الإثبات كالحجّة المنطقيّة، بل المراد منها هو كونها منجّزة للواقع؛ بمعنىٰ أنّه إذا قامت الأمارة المعتبرة على وجوب شي‌ء، وكان واجباً بحسب </w:t>
      </w:r>
      <w:r>
        <w:rPr>
          <w:rFonts w:ascii="Noor_Lotus" w:hAnsi="Noor_Lotus" w:cs="Noor_Lotus" w:hint="cs"/>
          <w:color w:val="000000"/>
          <w:sz w:val="30"/>
          <w:szCs w:val="30"/>
          <w:rtl/>
          <w:lang w:bidi="fa-IR"/>
        </w:rPr>
        <w:lastRenderedPageBreak/>
        <w:t>الواقع فتركه المكلّف، تصحّ عقوبته، ولا عذر له في تركه، وبهذا المعنى تطلق «الحجّة» على القطع، كإطلاقها على الأمارات، بل تطلق على بعض الشكوك أيضاً.</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وبالجملة:</w:t>
      </w:r>
      <w:r>
        <w:rPr>
          <w:rFonts w:ascii="Noor_Lotus" w:hAnsi="Noor_Lotus" w:cs="Noor_Lotus" w:hint="cs"/>
          <w:color w:val="000000"/>
          <w:sz w:val="30"/>
          <w:szCs w:val="30"/>
          <w:rtl/>
          <w:lang w:bidi="fa-IR"/>
        </w:rPr>
        <w:t xml:space="preserve"> الحجّة في الفقه ليست هي القياس المنطقيّ، ولا يكون الحكم الشرعيّ مترتّباً على ما قام عليه الأمارة بما هو كذلك، ولا المظنون بما [هو] مظنون.</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فتحصّل ممّا ذكرنا:</w:t>
      </w:r>
      <w:r>
        <w:rPr>
          <w:rFonts w:ascii="Noor_Lotus" w:hAnsi="Noor_Lotus" w:cs="Noor_Lotus" w:hint="cs"/>
          <w:color w:val="000000"/>
          <w:sz w:val="30"/>
          <w:szCs w:val="30"/>
          <w:rtl/>
          <w:lang w:bidi="fa-IR"/>
        </w:rPr>
        <w:t xml:space="preserve"> أنّ استصحاب جواز العمل على طبق رأي المجتهد وفتواه- بمعنى حاصل المصدر- وعلى طبق كتابه، الكاشفين عن الحكم الواقعيّ أو الوظيفة الظاهريّة، ممّا لا مانع منه.</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لايقال:</w:t>
      </w:r>
      <w:r>
        <w:rPr>
          <w:rFonts w:ascii="Noor_Lotus" w:hAnsi="Noor_Lotus" w:cs="Noor_Lotus" w:hint="cs"/>
          <w:color w:val="000000"/>
          <w:sz w:val="30"/>
          <w:szCs w:val="30"/>
          <w:rtl/>
          <w:lang w:bidi="fa-IR"/>
        </w:rPr>
        <w:t xml:space="preserve"> بناءً علىٰ ما ذكرت، يصحّ استصحاب حجّية ظنّ المجتهد الموجود في زمان حياته، فلنا أن نقول: إنّ الحجّية والأماريّة ثابتتان له في موطنه، ويحتمل بقاؤهما إلى الأبد، ومع الشكّ تستصحبان.</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مطارح الأنظار: 260 سطر 3.</w:t>
      </w:r>
    </w:p>
    <w:p w:rsidR="00A7045C" w:rsidRDefault="00A7045C" w:rsidP="00A7045C">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الاجتهاد و التقليد (للإمام الخميني)، النص، ص: 126‌</w:t>
      </w:r>
    </w:p>
    <w:p w:rsidR="00A7045C" w:rsidRDefault="00A7045C" w:rsidP="00A7045C">
      <w:pPr>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فإنّه يقال:</w:t>
      </w:r>
      <w:r>
        <w:rPr>
          <w:rFonts w:ascii="Noor_Lotus" w:hAnsi="Noor_Lotus" w:cs="Noor_Lotus" w:hint="cs"/>
          <w:color w:val="000000"/>
          <w:sz w:val="30"/>
          <w:szCs w:val="30"/>
          <w:rtl/>
          <w:lang w:bidi="fa-IR"/>
        </w:rPr>
        <w:t xml:space="preserve"> هذا غير معقول؛ للزوم إثبات الحجّية وجواز العمل فعلًا لأمر معدوم، وكونُه في زمانه موجوداً لايكفي في إثبات الحجّية الفعليّة له مع معدوميّته فعلًا.</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وإن شئت قلت:</w:t>
      </w:r>
      <w:r>
        <w:rPr>
          <w:rFonts w:ascii="Noor_Lotus" w:hAnsi="Noor_Lotus" w:cs="Noor_Lotus" w:hint="cs"/>
          <w:color w:val="000000"/>
          <w:sz w:val="30"/>
          <w:szCs w:val="30"/>
          <w:rtl/>
          <w:lang w:bidi="fa-IR"/>
        </w:rPr>
        <w:t xml:space="preserve"> إنّ جواز العمل كان ثابتاً للظنّ الموجود، فموضوع القضيّة المتيقّنة هو الظنّ الموجود، وهو الآن مفقود.</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اللّهم إلّاأن يقال:</w:t>
      </w:r>
      <w:r>
        <w:rPr>
          <w:rFonts w:ascii="Noor_Lotus" w:hAnsi="Noor_Lotus" w:cs="Noor_Lotus" w:hint="cs"/>
          <w:color w:val="000000"/>
          <w:sz w:val="30"/>
          <w:szCs w:val="30"/>
          <w:rtl/>
          <w:lang w:bidi="fa-IR"/>
        </w:rPr>
        <w:t xml:space="preserve"> إنّ الظنّ في حال الوجود- بنحو القضيّة الحينيّة- موضوع للقضيّة، لابنحو القضيّة الوضعيّة والتقييديّة، وهو عين الموضوع في القضيّة المشكوك فيها، وقد ذكرنا في باب الاستصحاب: أنّ المعتبر فيه هو وحدة القضيّتين، لا إحراز وجود الموضوع، فراجع</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ولكن كون الموضوع كذلك في المقام محلّ إشكال ومنع، مع أنّه لايدفع الإشكال المتقدّم به.</w:t>
      </w:r>
    </w:p>
    <w:p w:rsidR="00A7045C" w:rsidRDefault="00A7045C" w:rsidP="00A7045C">
      <w:pPr>
        <w:pStyle w:val="NormalWeb"/>
        <w:bidi/>
        <w:rPr>
          <w:rFonts w:ascii="Noor_Titr" w:hAnsi="Noor_Titr" w:cs="Noor_Titr" w:hint="cs"/>
          <w:color w:val="286564"/>
          <w:sz w:val="27"/>
          <w:szCs w:val="27"/>
          <w:rtl/>
          <w:lang w:bidi="fa-IR"/>
        </w:rPr>
      </w:pPr>
      <w:r>
        <w:rPr>
          <w:rFonts w:ascii="Noor_NazliBold" w:hAnsi="Noor_NazliBold" w:cs="Noor_Lotus" w:hint="cs"/>
          <w:color w:val="6C3A00"/>
          <w:sz w:val="27"/>
          <w:szCs w:val="27"/>
          <w:rtl/>
          <w:lang w:bidi="fa-IR"/>
        </w:rPr>
        <w:t>تقرير إشكال آخر على الاستصحاب</w:t>
      </w:r>
      <w:r>
        <w:rPr>
          <w:rFonts w:ascii="Noor_Lotus" w:hAnsi="Noor_Lotus" w:cs="Noor_Lotus" w:hint="cs"/>
          <w:color w:val="000000"/>
          <w:sz w:val="30"/>
          <w:szCs w:val="30"/>
          <w:lang w:bidi="fa-IR"/>
        </w:rPr>
        <w:t>‌</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ثمّ إنّ هاهنا إشكالًا قويّاً على هذا الاستصحاب</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وهو أنّه إمّا أن يراد به استصحاب الحجّية العقلائيّة، فهي أمر غير قابل للاستصحاب.</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أو الحجّيةِ الشرعيّة، فهي غير قابلة للجعل.</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الاستصحاب، العلّامة الإمام الخميني قدس سره: 203- 207.</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انظر مستمسك العروة الوثقىٰ 1: 15- 18، إلّاأنّه قدس سره أجاز إجراءه في الحكم الظاهريّ فراجع.</w:t>
      </w:r>
    </w:p>
    <w:p w:rsidR="00A7045C" w:rsidRDefault="00A7045C" w:rsidP="00A7045C">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الاجتهاد و التقليد (للإمام الخميني)، النص، ص: 127‌</w:t>
      </w:r>
    </w:p>
    <w:p w:rsidR="00A7045C" w:rsidRDefault="00A7045C" w:rsidP="00A7045C">
      <w:pPr>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أو جوازِ العمل على طبق قوله، فلا دليل على جعل الجواز الشرعيّ، بل الظاهر من مجموع الأدلّة، هو تنفيذ الأمر الارتكازيّ العقلائيّ، فليس في الباب دليل جامع لشرائط الحجّية، يدلّ على تأسيس الشرع جواز العمل أو وجوبه على رأي المجتهد، فها هي الأدلّة المستدلّ بها للمقصود، فراجعها حتّىٰ تعرف صدق ما ذكرناه</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أو استصحابُ الأحكام الواقعيّة، فلاشكّ في بقائها؛ لأنّها لو تحقّقت أوّلًا، فلاشكّ في أنّها متحقّقة في الحال أيضاً؛ لأنّ الشكّ في بقائها إمّا لأجل الشكّ في النسخ، أو الشكّ في فقدان شرط، كصلاة الجمعة في زمان الغيبة، أو حدوث مانع، والفرض أنّه لاشكّ من هذه الجهات.</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أو الأحكام الظاهريّة؛ بدعوى كونها مجعولة عقيب رأي المجتهد، بل عقيب سائر الأمارات، فهو أيضاً ممنوع؛ لعدم الدليل على ذلك، بل ظاهر الأدلّة على خلافه؛ لأنّ الظاهر منها إمضاء ما هو المرتكز لدى العقلاء، والمرتكز لديهم هو أماريّة رأي المجتهد للواقع، كأماريّة رأي كلّ ذي صنعة إلى الواقع في صنعته.</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وبالجملة:</w:t>
      </w:r>
      <w:r>
        <w:rPr>
          <w:rFonts w:ascii="Noor_Lotus" w:hAnsi="Noor_Lotus" w:cs="Noor_Lotus" w:hint="cs"/>
          <w:color w:val="000000"/>
          <w:sz w:val="30"/>
          <w:szCs w:val="30"/>
          <w:rtl/>
          <w:lang w:bidi="fa-IR"/>
        </w:rPr>
        <w:t xml:space="preserve"> لابدّ في جريان الاستصحاب من حكم أو موضوع ذي حكم، وليس في المقام شي‌ء قابل له:</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أمّا الحكم الشرعيّ فمفقود؛ لعدم تطرّق جعل وتأسيس من الشارع.</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وأمّا ما لدى العقلاء من حجّية قول أهل الخبرة، فلعدم كونه موضوعاً لحكم‌</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راجع ما تقدّم في الصفحة 78- 81.</w:t>
      </w:r>
    </w:p>
    <w:p w:rsidR="00A7045C" w:rsidRDefault="00A7045C" w:rsidP="00A7045C">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الاجتهاد و التقليد (للإمام الخميني)، النص، ص: 128‌</w:t>
      </w:r>
    </w:p>
    <w:p w:rsidR="00A7045C" w:rsidRDefault="00A7045C" w:rsidP="00A7045C">
      <w:pPr>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شرعيّ، بل هو أمر عقلائيّ، يتنجّز به الواقع بعد عدم ردع الشارع عنه.</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وأمّا إمضاء الشارع وارتضاؤه لما هو المرتكز بين العقلاء، فليس حكماً شرعيّاً حتّىٰ يستصحب تأمّل</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بل لايستفاد من الأدلّة إلّاالإرشاد إلى ما هو المرتكز، فليس جعل وتأسيس كما لا يخفىٰ.</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إن قلت:</w:t>
      </w:r>
      <w:r>
        <w:rPr>
          <w:rFonts w:ascii="Noor_Lotus" w:hAnsi="Noor_Lotus" w:cs="Noor_Lotus" w:hint="cs"/>
          <w:color w:val="000000"/>
          <w:sz w:val="30"/>
          <w:szCs w:val="30"/>
          <w:rtl/>
          <w:lang w:bidi="fa-IR"/>
        </w:rPr>
        <w:t xml:space="preserve"> بناءً عليه ينسدّ باب الاستصحاب في مطلق مؤدّيات الأمارات، فهل فتوى الفقيه إلّاإحداها؟! مع أنّه حقّق في محلّه جريانه في مؤدّياتها</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فكما يجري فيها لابدّ وأن يجري في الحكم المستفاد من فتوى الفقيه.</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قلت:</w:t>
      </w:r>
      <w:r>
        <w:rPr>
          <w:rFonts w:ascii="Noor_Lotus" w:hAnsi="Noor_Lotus" w:cs="Noor_Lotus" w:hint="cs"/>
          <w:color w:val="000000"/>
          <w:sz w:val="30"/>
          <w:szCs w:val="30"/>
          <w:rtl/>
          <w:lang w:bidi="fa-IR"/>
        </w:rPr>
        <w:t xml:space="preserve"> هذه مغالطة نشأت من خلط الشكّ في بقاء الحكم، والشكّ في بقاء حجّية الحجّة عليه، فإنّ الأوّل مجرى الاستصحاب، دون الثاني، فإذا قامت الأمارة- أيّة أمارة كانت- على حكم، ثمّ شكّ في بقائه لأحد أسباب طروّ الشك، كالشكّ في النسخ، يجري الأصل؛ لما ذكرنا في الاستصحاب: من شمول أدلّته مؤدّيات الأمارات أيضاً</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وأمّا إذا شكّ في أمارة- بعد قيامها على حكم وحجّيتها- في بقاء الحجّية لها في زمان الشكّ، فلا يجري فيها؛ لعدم الشكّ في بقاء حكم شرعيّ كما عرفت</w:t>
      </w:r>
      <w:r>
        <w:rPr>
          <w:rFonts w:ascii="Noor_Lotus" w:hAnsi="Noor_Lotus" w:cs="Noor_Lotus" w:hint="cs"/>
          <w:color w:val="0032DC"/>
          <w:sz w:val="30"/>
          <w:szCs w:val="30"/>
          <w:rtl/>
          <w:lang w:bidi="fa-IR"/>
        </w:rPr>
        <w:t xml:space="preserve"> «4»</w:t>
      </w:r>
      <w:r>
        <w:rPr>
          <w:rFonts w:ascii="Noor_Lotus" w:hAnsi="Noor_Lotus" w:cs="Noor_Lotus" w:hint="cs"/>
          <w:color w:val="000000"/>
          <w:sz w:val="30"/>
          <w:szCs w:val="30"/>
          <w:rtl/>
          <w:lang w:bidi="fa-IR"/>
        </w:rPr>
        <w:t>،</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وجهه: أنّ استصحاب رضا الشارع بالعمل ممّا لامانع منه؛ فإنّه وإن لم يكن حكماً، لكن مع التعبّد به يحكم العقل بجواز العمل، فهو مثل الحكم في ذلك [منه قدس سره].</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راجع الاستصحاب، العلّامة الإمام الخميني قدس سره: 81- 83.</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راجع الاستصحاب، العلّامة الإمام الخميني قدس سره: 81- 83.</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(4)- تقدّم في الصفحة 127.</w:t>
      </w:r>
    </w:p>
    <w:p w:rsidR="00A7045C" w:rsidRDefault="00A7045C" w:rsidP="00A7045C">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lastRenderedPageBreak/>
        <w:t>الاجتهاد و التقليد (للإمام الخميني)، النص، ص: 129‌</w:t>
      </w:r>
    </w:p>
    <w:p w:rsidR="00A7045C" w:rsidRDefault="00A7045C" w:rsidP="00A7045C">
      <w:pPr>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فقياس الاستصحاب في نفس الأمارة وحكمها، على الاستصحاب في مؤدّاها، مع الفارق؛ فإنّ المستصحب في الثاني هوالحكم الواقعيّ المحرز بالأمارة، دون الأوّل.</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إن قلت:</w:t>
      </w:r>
      <w:r>
        <w:rPr>
          <w:rFonts w:ascii="Noor_Lotus" w:hAnsi="Noor_Lotus" w:cs="Noor_Lotus" w:hint="cs"/>
          <w:color w:val="000000"/>
          <w:sz w:val="30"/>
          <w:szCs w:val="30"/>
          <w:rtl/>
          <w:lang w:bidi="fa-IR"/>
        </w:rPr>
        <w:t xml:space="preserve"> بناءً علىٰ عدم استتباع قيام الأمارات- فتوى الفقيه كانت أو غيرها- للحكم، يلزم عدم تمكّن المكلّف من الجزم في النيّة، وإتيان كثير من أجزاء العبادات وشرائطها رجاءً، وهو باطل، فلابدّ من الالتزام باستتباعها الحكم؛ لتحصيل الجزم فيها.</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قلت أوّلًا:</w:t>
      </w:r>
      <w:r>
        <w:rPr>
          <w:rFonts w:ascii="Noor_Lotus" w:hAnsi="Noor_Lotus" w:cs="Noor_Lotus" w:hint="cs"/>
          <w:color w:val="000000"/>
          <w:sz w:val="30"/>
          <w:szCs w:val="30"/>
          <w:rtl/>
          <w:lang w:bidi="fa-IR"/>
        </w:rPr>
        <w:t xml:space="preserve"> لادليل علىٰ لزوم الجزم فيها من إجماع أو غيره، ودعوى الإجماع</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ممنوعة في هذه المسألة العقليّة.</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وثانياً:</w:t>
      </w:r>
      <w:r>
        <w:rPr>
          <w:rFonts w:ascii="Noor_Lotus" w:hAnsi="Noor_Lotus" w:cs="Noor_Lotus" w:hint="cs"/>
          <w:color w:val="000000"/>
          <w:sz w:val="30"/>
          <w:szCs w:val="30"/>
          <w:rtl/>
          <w:lang w:bidi="fa-IR"/>
        </w:rPr>
        <w:t xml:space="preserve"> أنّ الجزم حاصل؛ لما ذكرناه</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من أنّ احتمال الخلاف في الطرق العقلائيّة، مغفول عنه غالباً، ألا ترىٰ أنّ جميع المعاملات الواقعة من ذوي الأيادي على الأموال، تقع على سبيل الجزم، مع أنّ الطريق إلى ملكيّتهم هو اليد التي تكون طريقاً عقلائيّاً؟! وليس ذلك إلّالعدم انقداح احتمال الخلاف في النفوس تفصيلًا بحسب الغالب.</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وثالثاً:</w:t>
      </w:r>
      <w:r>
        <w:rPr>
          <w:rFonts w:ascii="Noor_Lotus" w:hAnsi="Noor_Lotus" w:cs="Noor_Lotus" w:hint="cs"/>
          <w:color w:val="000000"/>
          <w:sz w:val="30"/>
          <w:szCs w:val="30"/>
          <w:rtl/>
          <w:lang w:bidi="fa-IR"/>
        </w:rPr>
        <w:t xml:space="preserve"> أنّ المقلِّدين الآخذين بقول الفقهاء، لا يرون فتاويهم إلّاطريقاً إلى الواقع، فالإتيان على مقتضىٰ فتاويهم، ليس إلّابملاحظة طريقيّتها إلى الواقع، وكاشفيّتها عن أحكام اللّٰه الواقعيّة، كعملهم علىٰ طبق رأي كلّ خبير فيما يرجع‌</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فرائد الاصول: 306 سطر 11، وفيه نفي الخلاف.</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تقدّم في الصفحة 82- 83.</w:t>
      </w:r>
    </w:p>
    <w:p w:rsidR="00A7045C" w:rsidRDefault="00A7045C" w:rsidP="00A7045C">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الاجتهاد و التقليد (للإمام الخميني)، النص، ص: 130‌</w:t>
      </w:r>
    </w:p>
    <w:p w:rsidR="00A7045C" w:rsidRDefault="00A7045C" w:rsidP="00A7045C">
      <w:pPr>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إليه، من دون تفاوت في نظرهم، وليس استتباع فتاويهم للحكم الظاهريّ في ذهنهم بوجه، حتّىٰ يكون الجزم باعتباره.</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فالحكم الظاهريّ على فرض وجوده، ليس محصّلًا للجزم؛ ضرورة كون هذا الاستتباع مغفولًا عنه لدى العقلاء، العاملين على قول الفقهاء بما أنّهم عالمون بالأحكام؛ وفتاويهم طريق إلى الواقع.</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فتحصّل من جميع ما ذكرنا:</w:t>
      </w:r>
      <w:r>
        <w:rPr>
          <w:rFonts w:ascii="Noor_Lotus" w:hAnsi="Noor_Lotus" w:cs="Noor_Lotus" w:hint="cs"/>
          <w:color w:val="000000"/>
          <w:sz w:val="30"/>
          <w:szCs w:val="30"/>
          <w:rtl/>
          <w:lang w:bidi="fa-IR"/>
        </w:rPr>
        <w:t xml:space="preserve"> أنّ الاستصحاب غير جارٍ؛ لفقدان المستصحب، أي الحكم، أو الموضوع الذي له حكم.</w:t>
      </w:r>
    </w:p>
    <w:p w:rsidR="00A7045C" w:rsidRDefault="00A7045C" w:rsidP="00A7045C">
      <w:pPr>
        <w:pStyle w:val="NormalWeb"/>
        <w:bidi/>
        <w:rPr>
          <w:rFonts w:ascii="Noor_Titr" w:hAnsi="Noor_Titr" w:cs="Noor_Titr" w:hint="cs"/>
          <w:color w:val="286564"/>
          <w:sz w:val="27"/>
          <w:szCs w:val="27"/>
          <w:rtl/>
          <w:lang w:bidi="fa-IR"/>
        </w:rPr>
      </w:pPr>
      <w:r>
        <w:rPr>
          <w:rFonts w:ascii="Noor_NazliBold" w:hAnsi="Noor_NazliBold" w:cs="Noor_Lotus" w:hint="cs"/>
          <w:color w:val="6C3A00"/>
          <w:sz w:val="27"/>
          <w:szCs w:val="27"/>
          <w:rtl/>
          <w:lang w:bidi="fa-IR"/>
        </w:rPr>
        <w:t>التفصّي عن الإشكال</w:t>
      </w:r>
      <w:r>
        <w:rPr>
          <w:rFonts w:ascii="Noor_Lotus" w:hAnsi="Noor_Lotus" w:cs="Noor_Lotus" w:hint="cs"/>
          <w:color w:val="000000"/>
          <w:sz w:val="30"/>
          <w:szCs w:val="30"/>
          <w:lang w:bidi="fa-IR"/>
        </w:rPr>
        <w:t>‌</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وغاية ما يمكن أن يقال في التفصّي عن هذا الإشكال: أنّ احتياج الفقيه للفتوىٰ بجواز البقاء على تقليد الميّت إلى الاستصحاب، إنّما يكون في مورد اختلاف رأيه مع رأي الميّت.</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وأمّا مع توافقهما، فيجوز له الإفتاء بالأخذ برأي الميّت؛ لقيام الدليل عنده عليه، وعدم الموضوعيّة للفتوىٰ، والأخذ برأي الحيّ، فلو فرض موافقة رأي فقيه حيّ لجميع ما في رسالة فقيه ميّت، يجوز له الإرجاع إلى رسالته، من غير احتياج إلى الاستصحاب، بل لقيام الأمارة على صحّته، فما يحتاج في الحكم بجواز البقاء إلى الاستصحاب، هو موارد اختلافهما.</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فحينئذٍ نقول:</w:t>
      </w:r>
      <w:r>
        <w:rPr>
          <w:rFonts w:ascii="Noor_Lotus" w:hAnsi="Noor_Lotus" w:cs="Noor_Lotus" w:hint="cs"/>
          <w:color w:val="000000"/>
          <w:sz w:val="30"/>
          <w:szCs w:val="30"/>
          <w:rtl/>
          <w:lang w:bidi="fa-IR"/>
        </w:rPr>
        <w:t xml:space="preserve"> لو أدرك مكلّف في زمان بلوغه مجتهدَين حيّين، متساويَين‌</w:t>
      </w:r>
    </w:p>
    <w:p w:rsidR="00A7045C" w:rsidRDefault="00A7045C" w:rsidP="00A7045C">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الاجتهاد و التقليد (للإمام الخميني)، النص، ص: 131‌</w:t>
      </w:r>
    </w:p>
    <w:p w:rsidR="00A7045C" w:rsidRDefault="00A7045C" w:rsidP="00A7045C">
      <w:pPr>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في العلم، مختلفَين في الفتوى، يكون مخيّراً في الأخذ بأيّهما شاء، وهذا حكم مسلّم بين الفقهاء، وأرسلوه إرسال المسلّمات، من غير احتمال إشكال فيه</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مع أنّه خلاف القاعدة؛ فإنّها تقتضي تساقطهما.</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فالحكم بالتخيير بنحو التسلّم في هذا المورد المخالف للقاعدة، لايكون إلّا بدليل شرعيّ وصل إليهم، أو للسيرة المستمرّة إلى زمن الأئمّة عليهم السلام، كما هي ليست ببعيدة، فإذا مات أحد المجتهدين يستصحب هذا الحكم التخييريّ، وهذا الاستصحاب جارٍ في الابتدائيّ والاستمراريّ.</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نعم، جريانه في الابتدائيّ الذي لم يدركه المكلّف حيّاً، محلّ إشكال؛ لعدم دليل يثبت الحكم للعنوان حتّىٰ يستصحب، فما ذكرنا في التفصّي عن الإشكال الأوّل في الباب: من استصحاب الحكم الثابت للعنوان، إنّما هو على فرض ثبوت الحكم له، وهو فرض محض.</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فتحصّل ممّا ذكرنا تفصيل آخر:</w:t>
      </w:r>
      <w:r>
        <w:rPr>
          <w:rFonts w:ascii="Noor_Lotus" w:hAnsi="Noor_Lotus" w:cs="Noor_Lotus" w:hint="cs"/>
          <w:color w:val="000000"/>
          <w:sz w:val="30"/>
          <w:szCs w:val="30"/>
          <w:rtl/>
          <w:lang w:bidi="fa-IR"/>
        </w:rPr>
        <w:t xml:space="preserve"> هو التفصيل بين الابتدائيّ الذي لم يدرك المكلّف مجتهده حيّاً حال بلوغه، وبين الابتدائيّ المدرك كذلك والاستمراريّ.</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هذا مقتضى الاستصحاب، فلو قام الإجماع على عدم جواز الابتدائيّ مطلقاً، تصير النتيجة التفصيل بين الابتدائيّ والاستمراريّ، هذا كلّه حال الاستصحاب.</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مناهج الأحكام والاصول: 300 السطر الأخير، مستمسك العروة الوثقىٰ 1: 61.</w:t>
      </w:r>
    </w:p>
    <w:p w:rsidR="00A7045C" w:rsidRDefault="00A7045C" w:rsidP="00A7045C">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الاجتهاد و التقليد (للإمام الخميني)، النص، ص: 132‌</w:t>
      </w:r>
    </w:p>
    <w:p w:rsidR="00A7045C" w:rsidRDefault="00A7045C" w:rsidP="00A7045C">
      <w:pPr>
        <w:bidi/>
        <w:rPr>
          <w:rFonts w:ascii="Noor_Titr" w:hAnsi="Noor_Titr" w:cs="Noor_Titr" w:hint="cs"/>
          <w:color w:val="286564"/>
          <w:sz w:val="27"/>
          <w:szCs w:val="27"/>
          <w:rtl/>
          <w:lang w:bidi="fa-IR"/>
        </w:rPr>
      </w:pPr>
      <w:r>
        <w:rPr>
          <w:rFonts w:ascii="Noor_NazliBold" w:hAnsi="Noor_NazliBold" w:cs="Noor_Lotus" w:hint="cs"/>
          <w:color w:val="6C3A00"/>
          <w:sz w:val="27"/>
          <w:szCs w:val="27"/>
          <w:rtl/>
          <w:lang w:bidi="fa-IR"/>
        </w:rPr>
        <w:t>حال بناء العقلاء في تقليد الميّت</w:t>
      </w:r>
      <w:r>
        <w:rPr>
          <w:rFonts w:ascii="Noor_Lotus" w:hAnsi="Noor_Lotus" w:cs="Noor_Lotus" w:hint="cs"/>
          <w:color w:val="000000"/>
          <w:sz w:val="30"/>
          <w:szCs w:val="30"/>
          <w:lang w:bidi="fa-IR"/>
        </w:rPr>
        <w:t>‌</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وأمّا بناء العقلاء، فمحصّل الكلام فيه: أنّه لا إشكال في عدم التفاوت في ارتكاز العقلاء وحكم العقل، بين فتوى الحيّ والميّت؛ ضرورة طريقيّة كلّ منهما إلى الواقع من غير فرق بينهما.</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لكن مجرّد ارتكازهم وحكمهم العقليّ بعدم الفرق بينهما، لايكفي في جواز العمل، بل لابدّ من إثبات بنائهم على العمل علىٰ طبق فتوى الميّت كالحيّ، وتعارفه لديهم، حتّىٰ يكون عدم ردع الشارع كاشفاً عن إمضائه، وإلّا فلو فرض عدم جريان العمل على طبق فتوى الميّت- وإن لم يتفاوت في ارتكازهم مع الحيّ- لايكون للردع مورد حتّىٰ يكشف عدمُه عن إمضاء الشارع.</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والحاصل:</w:t>
      </w:r>
      <w:r>
        <w:rPr>
          <w:rFonts w:ascii="Noor_Lotus" w:hAnsi="Noor_Lotus" w:cs="Noor_Lotus" w:hint="cs"/>
          <w:color w:val="000000"/>
          <w:sz w:val="30"/>
          <w:szCs w:val="30"/>
          <w:rtl/>
          <w:lang w:bidi="fa-IR"/>
        </w:rPr>
        <w:t xml:space="preserve"> أنّ جواز الاتكال على الأمارات العقلائيّة، موقوف على إمضاء الشارع لفظاً، أو كشفه عن عدم الردع، وليس ما يدلّ لفظاً عليه، والكشف عن عدم الردع موقوف على جري العقلاء عملًا على طبق ارتكازهم، ومع عدمه لامعنى لردع الشارع، ولايكون سكوته كاشفاً عن رضاه.</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lastRenderedPageBreak/>
        <w:t>فحينئذٍ نقول:</w:t>
      </w:r>
      <w:r>
        <w:rPr>
          <w:rFonts w:ascii="Noor_Lotus" w:hAnsi="Noor_Lotus" w:cs="Noor_Lotus" w:hint="cs"/>
          <w:color w:val="000000"/>
          <w:sz w:val="30"/>
          <w:szCs w:val="30"/>
          <w:rtl/>
          <w:lang w:bidi="fa-IR"/>
        </w:rPr>
        <w:t xml:space="preserve"> لا إشكال في بناء العقلاء على العمل برأي الحيّ، ويمكن دعوىٰ بنائهم على العمل بما أخذوا من الحيّ في زمان حياته ثمّ مات؛ ضرورة أنّ الجاهل بعد تعلّم مايحتاج إليه من الحيّ، يرىٰ نفسه عالماً، فلا داعي له في الرجوع إلى الآخر.</w:t>
      </w:r>
    </w:p>
    <w:p w:rsidR="00A7045C" w:rsidRDefault="00A7045C" w:rsidP="00A7045C">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الاجتهاد و التقليد (للإمام الخميني)، النص، ص: 133‌</w:t>
      </w:r>
    </w:p>
    <w:p w:rsidR="00A7045C" w:rsidRDefault="00A7045C" w:rsidP="00A7045C">
      <w:pPr>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بل يمكن إثبات ذلك من الروايات، كرواية عليّ بن المسيّب المتقدّمة</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فإنّ إرجاعه إلى زكريّا بن آدم- من غير ذكر حال حياته؛ وأنّ ما يأخذه منه في حال الحياة، لايجوز العمل به بعد موته، مع أنّ في ارتكازه وارتكاز كلّ عاقل عدمَ الفرق بينهما- دلالةٌ على جواز العمل بما تعلّم منه مطلقاً؛ فإنّ كون شقّته بعيدة، بحيث أنّه بعد رجوعه إلى شقّته، كان يصير منقطعاً عن الإمام عليه السلام في مثل تلك الأزمنة، كان يوجب عليه بيان الاشتراط لو كانت الحياة شرطاً.</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واحتمال أنّ رجوع عليّ بن المسيّب إليه كان في نقل الرواية، يدفعه ظهور الرواية، ومثلها مكاتبة أحمد بن حاتم وأخيه</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وبالجملة:</w:t>
      </w:r>
      <w:r>
        <w:rPr>
          <w:rFonts w:ascii="Noor_Lotus" w:hAnsi="Noor_Lotus" w:cs="Noor_Lotus" w:hint="cs"/>
          <w:color w:val="000000"/>
          <w:sz w:val="30"/>
          <w:szCs w:val="30"/>
          <w:rtl/>
          <w:lang w:bidi="fa-IR"/>
        </w:rPr>
        <w:t xml:space="preserve"> إرجاع الأئمّة عليهم السلام في الروايات الكثيرة، شيعتهم إلى العلماء عموماً وخصوصاً- مع خلوّها عن اشتراط الحياة- كاشف عن ارتضائهم بذلك.</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نعم لايكشف عن الأخذ الابتدائيّ بفتوى الميّت؛ فإنّ الدواعيّ منصرفة عن الرجوع إلى الميّت مع وجود الحيّ، ولم يكن في تلك الأزمنة تدوين الكتب الفتوائيّة متعارفاً، حتّىٰ يقال: إنّهم كانوا يراجعون الكتب؛ فإنّ الكتب الموجودة في تلك الأزمنة كانت منحصرة بكتب الأحاديث، ثمّ بعد أزمنة متطاولة صار بناؤهم على تدوين كتب نحو متون الأخبار، ككتب الصدوقين، ومن في طبقتهما، أو‌</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تقدّمت في الصفحة 80، راجع رجال الكشّي 2: 858، وسائل الشيعة 18: 106، كتاب القضاء، أبواب صفات القاضي، الباب 11، الحديث 27.</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تقدّمت في الصفحة 100، راجع رجال الكشّي 1: 15، وسائل الشيعة 18: 110، كتاب القضاء، أبواب صفات القاضي، الباب 11، الحديث 45.</w:t>
      </w:r>
    </w:p>
    <w:p w:rsidR="00A7045C" w:rsidRDefault="00A7045C" w:rsidP="00A7045C">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الاجتهاد و التقليد (للإمام الخميني)، النص، ص: 134‌</w:t>
      </w:r>
    </w:p>
    <w:p w:rsidR="00A7045C" w:rsidRDefault="00A7045C" w:rsidP="00A7045C">
      <w:pPr>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قريب العصر بهما</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ثمّ بعد مرور الأزمنة، جرت عادتهم على تدوين الكتب التفريعيّة والاستدلاليّة، فلم يكن الأخذ من الأموات ابتداءً، ممكناً في الصدر الأوّل، ولا متعارفاً أصلًا.</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نعم، من أخذ فتوى حيّ في زمان حياته، فقد كان يعمل بها على الظاهر؛ ضرورة عدم الفرق في ارتكازه بين الحيّ والميّت، ولم يرد ردع عن ارتكازهم وبنائهم العمليّ، بل إطلاق الأدلّة يقتضي الجواز أيضاً.</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فتحصّل ممّا ذكرناه:</w:t>
      </w:r>
      <w:r>
        <w:rPr>
          <w:rFonts w:ascii="Noor_Lotus" w:hAnsi="Noor_Lotus" w:cs="Noor_Lotus" w:hint="cs"/>
          <w:color w:val="000000"/>
          <w:sz w:val="30"/>
          <w:szCs w:val="30"/>
          <w:rtl/>
          <w:lang w:bidi="fa-IR"/>
        </w:rPr>
        <w:t xml:space="preserve"> أنّه لو كان مبنىٰ جواز البقاء على تقليد الميّت، هو بناء العقلاء، فلابدّ من التفصيل بين ما إذا أخذ فتوى الميّت في زمان حياته وغيره.</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والإنصاف:</w:t>
      </w:r>
      <w:r>
        <w:rPr>
          <w:rFonts w:ascii="Noor_Lotus" w:hAnsi="Noor_Lotus" w:cs="Noor_Lotus" w:hint="cs"/>
          <w:color w:val="000000"/>
          <w:sz w:val="30"/>
          <w:szCs w:val="30"/>
          <w:rtl/>
          <w:lang w:bidi="fa-IR"/>
        </w:rPr>
        <w:t xml:space="preserve"> أنّ جواز البقاء على فتوى الميّت بعد الأخذ منه في الجملة، هو الأقوى، وأمّا الأخذ الابتدائيّ ففيه إشكال، بل الأقوى عدم جوازه.</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وأمّا التمسّك بالأدلّة اللّفظية كالكتاب والسنّة</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فقد عرفت في المبحث السالف؛ عدم دلالتهما على تأسيس حكم شرعيّ في هذا الباب، فراجع</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lang w:bidi="fa-IR"/>
        </w:rPr>
        <w:t>‌</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كمحمّد بن الحسن بن الوليد، وجعفر بن محمّد بن قولويه، والشيخ المفيد وغيره.</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الفصول الغرويّة: 422 سطر 31.</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راجع الصفحة 127.</w:t>
      </w:r>
    </w:p>
    <w:p w:rsidR="00A7045C" w:rsidRDefault="00A7045C" w:rsidP="00A7045C">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________________________________________</w:t>
      </w:r>
      <w:r>
        <w:rPr>
          <w:rFonts w:ascii="Noor_Lotus" w:hAnsi="Noor_Lotus" w:cs="Noor_Lotus" w:hint="cs"/>
          <w:color w:val="6C3934"/>
          <w:sz w:val="21"/>
          <w:szCs w:val="21"/>
          <w:rtl/>
          <w:lang w:bidi="fa-IR"/>
        </w:rPr>
        <w:br/>
        <w:t>خمينى، سيد روح اللّٰه موسوى، الاجتهاد و التقليد (للإمام الخميني)، در يك جلد، مؤسسه تنظيم و نشر آثار امام خمينى قدس سره، تهران - ايران، اول، 1418 ه‍ ق</w:t>
      </w:r>
    </w:p>
    <w:p w:rsidR="00A7045C" w:rsidRDefault="00A7045C"/>
    <w:p w:rsidR="00B80693" w:rsidRDefault="00B80693">
      <w:pPr>
        <w:rPr>
          <w:rFonts w:hint="cs"/>
          <w:rtl/>
          <w:lang w:bidi="fa-IR"/>
        </w:rPr>
      </w:pPr>
      <w:bookmarkStart w:id="0" w:name="_GoBack"/>
      <w:bookmarkEnd w:id="0"/>
    </w:p>
    <w:sectPr w:rsidR="00B806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Noor_Titr">
    <w:panose1 w:val="02000700000000000000"/>
    <w:charset w:val="00"/>
    <w:family w:val="auto"/>
    <w:pitch w:val="variable"/>
    <w:sig w:usb0="80002007" w:usb1="80002000" w:usb2="00000008" w:usb3="00000000" w:csb0="00000043" w:csb1="00000000"/>
  </w:font>
  <w:font w:name="Noor_Lotus">
    <w:panose1 w:val="02000400000000000000"/>
    <w:charset w:val="00"/>
    <w:family w:val="auto"/>
    <w:pitch w:val="variable"/>
    <w:sig w:usb0="80002007" w:usb1="80002000" w:usb2="00000008" w:usb3="00000000" w:csb0="00000043" w:csb1="00000000"/>
  </w:font>
  <w:font w:name="Noor_NazliBold">
    <w:panose1 w:val="00000000000000000000"/>
    <w:charset w:val="00"/>
    <w:family w:val="roman"/>
    <w:notTrueType/>
    <w:pitch w:val="default"/>
  </w:font>
  <w:font w:name="me_quran">
    <w:panose1 w:val="02060603050605020204"/>
    <w:charset w:val="B2"/>
    <w:family w:val="roman"/>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45C"/>
    <w:rsid w:val="00A7045C"/>
    <w:rsid w:val="00B8069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FBD1A3-54E2-4523-AB7E-D14792A2C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7045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191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2779</Words>
  <Characters>15846</Characters>
  <Application>Microsoft Office Word</Application>
  <DocSecurity>0</DocSecurity>
  <Lines>132</Lines>
  <Paragraphs>37</Paragraphs>
  <ScaleCrop>false</ScaleCrop>
  <Company/>
  <LinksUpToDate>false</LinksUpToDate>
  <CharactersWithSpaces>18588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مهمان</dc:creator>
  <cp:keywords/>
  <dc:description/>
  <cp:lastModifiedBy>مهمان</cp:lastModifiedBy>
  <cp:revision>1</cp:revision>
  <dcterms:created xsi:type="dcterms:W3CDTF">2016-12-19T15:27:00Z</dcterms:created>
  <dcterms:modified xsi:type="dcterms:W3CDTF">2016-12-19T15:27:00Z</dcterms:modified>
</cp:coreProperties>
</file>