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36A4" w:rsidRDefault="00C236A4" w:rsidP="00C236A4">
      <w:pPr>
        <w:pStyle w:val="NormalWeb"/>
        <w:bidi/>
        <w:jc w:val="center"/>
        <w:rPr>
          <w:rFonts w:ascii="Noor_Titr" w:hAnsi="Noor_Titr" w:cs="Noor_Titr"/>
          <w:color w:val="000000"/>
          <w:sz w:val="2"/>
          <w:szCs w:val="2"/>
          <w:lang w:bidi="fa-IR"/>
        </w:rPr>
      </w:pPr>
      <w:r>
        <w:rPr>
          <w:rFonts w:ascii="Noor_Titr" w:hAnsi="Noor_Titr" w:cs="Noor_Titr" w:hint="cs"/>
          <w:color w:val="286564"/>
          <w:sz w:val="27"/>
          <w:szCs w:val="27"/>
          <w:rtl/>
          <w:lang w:bidi="fa-IR"/>
        </w:rPr>
        <w:t>موسوعة الإمام الخوئي؛ ج‌1، ص: 57</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57‌</w:t>
      </w:r>
    </w:p>
    <w:p w:rsidR="00C236A4" w:rsidRDefault="00C236A4" w:rsidP="00C236A4">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[مباحث التقليد]</w:t>
      </w:r>
    </w:p>
    <w:p w:rsidR="00C236A4" w:rsidRDefault="00C236A4" w:rsidP="00C236A4">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[مسألة في حكم العمل بلا تقليد و لا احتياط]</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[7] مسألة 7: عمل العامي بلا تقليد و لا احتياط باطل (1) [1]</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بإباحته أو بوجوبه أو حرمته فلا، لعدم كونها مورداً لاحتمال العقاب كي يجب دفعه لدى العقل بالتقليد أو بغيره لجزمه بعدم العقاب أو بوجوده، فعلى ذلك لا حاجة إلى التقليد في اليقينيات فضلًا عن الضروريات، هذا تمام الكلام في الاحتياط و يقع الكلام بعد ذلك في التقليد.</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A42300"/>
          <w:sz w:val="30"/>
          <w:szCs w:val="30"/>
          <w:rtl/>
          <w:lang w:bidi="fa-IR"/>
        </w:rPr>
        <w:t>مباحث التقليد</w:t>
      </w:r>
      <w:r>
        <w:rPr>
          <w:rFonts w:ascii="Noor_Lotus" w:hAnsi="Noor_Lotus" w:cs="Noor_Lotus" w:hint="cs"/>
          <w:color w:val="000000"/>
          <w:sz w:val="30"/>
          <w:szCs w:val="30"/>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لم يرد بذلك البطلان الواقعي بأن تكون أعمال العامي من غير تقليد و لا احتياط فاسدة و إن انكشفت صحتها بعد ذلك، كما إذا بلغ رتبة الاجتهاد وادي نظره إلى صحتها، بل المراد به البطلان عقلًا و عدم جواز الاقتصار على ما أتى به من دون تقليد و لا احتياط، و ذلك لأن قاعدة الاشتغال تقضي حينئذٍ ببطلانه. مثلًا إذا عقد على امرأة بالفارسية من دون أن يعلم بصحته أو يقلّد من يفتي بها، لم يجز له أن يرتّب على المرأة آثار الزوجية. و كذا إذا غسل المتنجّس مرّة واحدة و هو لا يعلم كفايتها لأنه ليس له أن يرتّب عليه آثار الطهارة لاحتمال بطلان العقد واقعاً، و عدم صيرورة المرأة بذلك زوجة له أو عدم طهارة المغسول و بقائه على تنجسه، فحيث إنه لم يحرز صحة العقد أو كفاية المرّة الواحدة، فقاعدة الاشتغال تقتضي بطلانه و عدم كفاية الغسل مرة مع قطع النظر عن الاستصحاب الجاري فيهما.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على الجملة إذا لم يحرز المكلف صحة عمله و احتمل معه الفساد، فمقتضى قاعدة الاشتغال أعني حكم العقل بأن الاشتغال اليقيني يستدعي البراءة اليقينية، عدم ترتيب آثار الصحة عليه.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r>
      <w:r>
        <w:rPr>
          <w:rFonts w:ascii="Noor_Lotus" w:hAnsi="Noor_Lotus" w:cs="Noor_Lotus" w:hint="cs"/>
          <w:color w:val="400080"/>
          <w:sz w:val="21"/>
          <w:szCs w:val="21"/>
          <w:rtl/>
          <w:lang w:bidi="fa-IR"/>
        </w:rPr>
        <w:t>[1] بمعنى أنه لا يجوز الاقتصار عليه في مقام الامتثال ما لم تنكشف صحته.</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58‌</w:t>
      </w:r>
    </w:p>
    <w:p w:rsidR="00C236A4" w:rsidRDefault="00C236A4" w:rsidP="00C236A4">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[معنى التقليد]</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[8] مسألة 8: التقليد هو الالتزام (1) [1]</w:t>
      </w:r>
      <w:r>
        <w:rPr>
          <w:rFonts w:ascii="Noor_Lotus" w:hAnsi="Noor_Lotus" w:cs="Noor_Lotus" w:hint="cs"/>
          <w:color w:val="A42300"/>
          <w:sz w:val="30"/>
          <w:szCs w:val="30"/>
          <w:rtl/>
          <w:lang w:bidi="fa-IR"/>
        </w:rPr>
        <w:t xml:space="preserve"> معنى التقليد</w:t>
      </w:r>
      <w:r>
        <w:rPr>
          <w:rFonts w:ascii="Noor_Lotus" w:hAnsi="Noor_Lotus" w:cs="Noor_Lotus" w:hint="cs"/>
          <w:color w:val="000000"/>
          <w:sz w:val="30"/>
          <w:szCs w:val="30"/>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(1) قد عرّف التقليد بوجوه: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منها: أن التقليد أخذ فتوى الغير للعمل به.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أنه الالتزام بالعمل بفتوى الغير و إن لم يعمل به بعد و لا أخذ فتواه.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غير ذلك من التفاسير.</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التحقيق: أن التقليد عنوان من عناوين العمل و طور من أطواره، و هو الاستناد إلى قول الغير في مقام العمل، بأن يكون قول الغير هو الّذي نشأ منه العمل و أنه السبب في صدوره، فإن المقلّد في أعماله يتّكئ و يستند إلى قول الغير فهو المسئول عن وجهه دون العامل المقلّد.</w:t>
      </w:r>
    </w:p>
    <w:p w:rsidR="00C236A4" w:rsidRDefault="00C236A4" w:rsidP="00C236A4">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معنى التقليد بحسب اللغة</w:t>
      </w:r>
      <w:r>
        <w:rPr>
          <w:rFonts w:ascii="Noor_Lotus" w:hAnsi="Noor_Lotus" w:cs="Noor_Lotus" w:hint="cs"/>
          <w:color w:val="000000"/>
          <w:sz w:val="30"/>
          <w:szCs w:val="30"/>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يرشدك إلى ذلك ملاحظة اللغة، حيث إن التقليد بمعنى جعل الشخص أو غيره ذا قلادة فيقال: تقلد السيف أي ألقى حمالته في عنقه، و منه تقليد البدنة في الحج لأن معناه أنه علّق بعنقها النعل ليعلم أنها هدي فيكف عنها، و في حديث الخلافة: «قلّدها رسول اللّٰه علياً»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أي جعلها قلادة له، فمعنى أن العامي قلّد المجتهد أنه جعل أعماله على رقبة المجتهد و عاتقه و أتى بها استناداً إلى فتواه، لا أن معناه الأخذ أو الالتزام أو غير ذلك من الوجوه، لعدم توافق شي‌ء من ذلك معنى التقليد لغة. مثلًا إذا فسّرناه بالالتزام رجع معنى تقليد المجتهد إلى أن العامي جعل فتوى المجتهد و أقواله قلادة لنفسه، لا أنه جعل </w:t>
      </w:r>
      <w:r>
        <w:rPr>
          <w:rFonts w:ascii="Noor_Lotus" w:hAnsi="Noor_Lotus" w:cs="Noor_Lotus" w:hint="cs"/>
          <w:color w:val="000000"/>
          <w:sz w:val="30"/>
          <w:szCs w:val="30"/>
          <w:rtl/>
          <w:lang w:bidi="fa-IR"/>
        </w:rPr>
        <w:lastRenderedPageBreak/>
        <w:t>أعماله قلادة على رقبة المجتهد. و قد عرفت أن المناسب لمعنى التقليد هو الثاني دون الأول، فإن لازمه صحة إطلاق المقلّد على المجتهد دون العامي.</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400080"/>
          <w:sz w:val="21"/>
          <w:szCs w:val="21"/>
          <w:rtl/>
          <w:lang w:bidi="fa-IR"/>
        </w:rPr>
        <w:t>[1] بل هو الاستناد إلى فتوى الغير في العمل، و لكنه مع ذلك يكفي في جواز البقاء على التقليد أو وجوبه تعلم الفتوى للعمل و كونه ذاكراً لها ..</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كذا في مجمع البحرين في مادة (قلّد).</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59‌</w:t>
      </w:r>
    </w:p>
    <w:p w:rsidR="00C236A4" w:rsidRDefault="00C236A4" w:rsidP="00C236A4">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معنى التقليد بحسب الأخبار</w:t>
      </w:r>
      <w:r>
        <w:rPr>
          <w:rFonts w:ascii="Noor_Lotus" w:hAnsi="Noor_Lotus" w:cs="Noor_Lotus" w:hint="cs"/>
          <w:color w:val="000000"/>
          <w:sz w:val="30"/>
          <w:szCs w:val="30"/>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ثمّ إن ما ذكرناه في معنى التقليد، مضافاً إلى أنه المناسب للمعنى اللغوي قد أُشير إليه في جملة من الروايات كمعتبرة عبد الرحمن بن الحجاج قال: «كان أبو عبد اللّٰه (عليه السّلام) قاعداً في حلقة ربيعة الرأي، فجاء أعرابي فسأل ربيعة الرأي عن مسألة فأجابه، فلمّا سكت قال له الأعرابي: أ هو في عنقك؟ فسكت عنه ربيعة و لم يردّ عليه شيئاً، فأعاد المسألة عليه فأجابه بمثل ذلك، فقال له الأعرابي: أ هو في عنقك؟ فسكت ربيعة، فقال أبو عبد اللّٰه (عليه السّلام): هو في عنقه قال أو لم يقل، و كل مفتٍ ضامن»</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كالأخبار المستفيضة الدالة على أن «من أفتى بغير علم فعليه وزر من عمل به»</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يؤيد ذلك ما ورد في الحج «من أن كفارة تقليم الأظافر على من أفتى به»</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لا على المباشر.</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 ذلك يستكشف بوضوح أن ما ذكرناه في معنى التقليد هو المعنى المتفاهم العرفي من لفظة التقليد عند إطلاقها، بل عليه جرت اللغة الدارجة في عصرنا حيث ترى يقولون: قلّدتك الدعاء و الزيارة. إذن الاصطلاح الدارج و اللغة و العرف متطابقة على أن التقليد هو الاستناد إلى قول الغير في مقام العمل، هذا.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إلّا أن صاحب الكفاية (قدّس سرّه) لم يرتض بذلك و ذهب إلى أن التقليد هو الأخذ و الالتزام، و منع عن تفسيره بالعمل استناداً إلى رأي الغير، نظراً إلى أن التقليد إذا كان نفس العمل على طبق فتوى الغير فأوّل عمل يصدر من المكلف يصدر من غير تقليد، لأن ذلك العمل غير مسبوق بالتقليد الّذي هو العمل، مع أن العمل لا بدّ أن يكون مسبوقاً بالتقليد، لأن المكلف لا بدّ أن يستند في أعماله إلى حجة فكما أن المجتهد يستند إلى اجتهاده و هو أمر سابق على عمله، كذلك العاميّ لا بدّ أن يستند إلى‌</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وسائل الشيعة 27: 220/ أبواب آداب القاضي ب 7 ح 2.</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ورد بهذا المضمون في وسائل الشيعة 27: 20/ أبواب صفات القاضي ب 4.</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ورد بهذا المضمون في وسائل الشيعة 13: 164/ أبواب بقية كفارات الإحرام ب 13.</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60‌</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التقليد و يلزم أن يكون تقليده سابقاً على عمله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يرد عليه: أن التقليد كما مرّ لون و عنوان للعمل، فهو أمر مقارن معه و لا يعتبر فيه السبق زماناً، فإذا عمل المكلّف عملًا مستنداً إلى فتوى الغير، كان ذلك العمل مقروناً بالتقليد لا محالة و هو كاف في صحته، و لا دليل على اعتبار سبق التقليد على العمل.</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يورد على تفسير التقليد بما ذكرناه، بأن ذلك مستلزم للدور فإن مشروعية العبادة و صحتها من المقلد تتوقف على تقليده، إذ لو لم يقلّد لم يتمكن من الإتيان بها بما أنها مأمور بها حتى تقع عبادة، فلو كان تقليده متوقفاً على إتيانه بالعبادة لعدم تحقق التقليد إلّا بالعمل، لدار.</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يندفع بأن المتوقف عليه، غير المتوقف عليه، و ذلك لأن مشروعية أي عمل عبادي أو غيره لا يمكن أن تكون ثابتة بالتقليد، لعدم كونه مشرعاً في الدين. بل إنما تتوقف المشروعية على الدليل و لو كان هو فتوى </w:t>
      </w:r>
      <w:r>
        <w:rPr>
          <w:rFonts w:ascii="Noor_Lotus" w:hAnsi="Noor_Lotus" w:cs="Noor_Lotus" w:hint="cs"/>
          <w:color w:val="000000"/>
          <w:sz w:val="30"/>
          <w:szCs w:val="30"/>
          <w:rtl/>
          <w:lang w:bidi="fa-IR"/>
        </w:rPr>
        <w:lastRenderedPageBreak/>
        <w:t>مقلده. نعم، إذا أتى المكلف بالعمل بعد العلم بمشروعيته مستنداً فيه إلى فتوى المجتهد، انطبق عليه التقليد لا محالة. فالتقليد و إن كان متوقفاً على العمل إلّا أنه لا يتوقف على التقليد بوجه، فلا توقف في البين، و على الجملة أن التقليد إنما يتحقق بالعمل على قول الغير و لا توقف له على الالتزام.</w:t>
      </w:r>
    </w:p>
    <w:p w:rsidR="00C236A4" w:rsidRDefault="00C236A4" w:rsidP="00C236A4">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معنى التقليد عند اختلاف الفتاوى</w:t>
      </w:r>
      <w:r>
        <w:rPr>
          <w:rFonts w:ascii="Noor_Lotus" w:hAnsi="Noor_Lotus" w:cs="Noor_Lotus" w:hint="cs"/>
          <w:color w:val="000000"/>
          <w:sz w:val="30"/>
          <w:szCs w:val="30"/>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يقال: إنه إذا تعدد المجتهدون و اختلفوا في الفتوى، توقف التقليد على الالتزام بالعمل على إحدى الفتويين أو الفتاوى، أو أن التقليد حينئذٍ ينتزع عن نفس الالتزام و الدليل على وجوبه حكم العقل بلزوم تحصيل الحجة على امتثال الأحكام الشرعية.</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بل عن بعضهم أن الخلاف في أن التقليد هو العمل أو الالتزام إنما هو فيما إذا اتحد المجتهد أو تعددوا و اتفقوا في الفتوى، و أما مع التعدد و التعارض بين الفتويين أو‌</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كفاية الأُصول: 472.</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61‌</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الفتاوى، فلا ينبغي التردد في أنه يجب الالتزام بإحدى الفتويين أو الفتاوى، لأن موضوع الحجية لا يتحقق حينئذٍ إلّا بالالتزام، و هو مقدمة لتطبيق العمل على طبقها و الوجه فيه: أن الحجة يمتنع أن يكون هو الجميع لاستلزامه الجمع بين المتناقضين، و لا واحد معيّن لأنه بلا مرجح، كما يمتنع الحكم بالتساقط و الرجوع إلى غير الفتوى لأنه خلاف السيرة و الإجماع، إذن يتعيّن أن تكون الحجة ما يختاره المكلّف و يلتزم به و حاصله: أن الحجة في مفروض الكلام هي إحدى الفتويين أو الفتاوى تخييراً و التمييز حينئذٍ بالاختيار و الالتزام، هذا.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يأتي منّا إن شاء اللّٰه في المسألة الثالثة عشرة عند تعرض الماتن (قدّس سرّه) لمسألة ما إذا كان هناك مجتهدان متساويان في الفضيلة و حكمه فيها بالتخيير: أن الحجية التخييرية بأي معنى فسّرت أمر لا محصل له في المقام، و أن الوظيفة حينئذٍ هو الاحتياط لسقوط الفتويين أو الفتاوى عن الحجية بالتعارض، إذن لا توقف للتقليد على الالتزام فضلًا عن أن يكون التقليد نفس الالتزام عند تعدد المجتهد و اختلافهم في الفتوى.</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ثمّ إن التكلم في مفهوم التقليد لا يكاد أن يترتب عليه ثمرة فقهية، اللّهُمَّ إلّا في النذر، و ذلك لعدم وروده في شي‌ء من الروايات. نعم، ورد في رواية الاحتجاج «فأما من كان من الفقهاء صائناً لنفسه، حافظاً لدينه، مخالفاً على هواه، مطيعاً لأمر مولاه فللعوام أن يقلّدوه»</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إلّا أنها رواية مرسلة غير قابلة للاعتماد عليها. إذن فلم يؤخذ عنوان التقليد في موضوع أي حكم لنتكلم عن مفهومه و معناه. و أما أخذه في مسألتي البقاء على تقليد الميت، و العدول من الحي إلى غيره فهو إنما يتراءى في كلمات الأصحاب (قدّس اللّٰه أسرارهم) حيث عنونوا المسألتين كما نقلناه، و من المعلوم أنهما بهذين العنوانين غير واردتين في الأخبار.</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نعم، سبق إلى بعض الأذهان أن حكم المسألتين مبني على معنى التقليد فيختلف الحال فيهما باختلافه، لأنا لو فسّرناه بالالتزام و فرضنا أن المكلف التزم بالعمل بفتوى‌</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وسائل الشيعة 27: 131/ أبواب صفات القاضي ب 10 ح 20.</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62‌</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 xml:space="preserve">مجتهد ثمّ مات ذلك المجتهد، فله أن يعمل على فتاواه لأنه من البقاء على تقليد الميت و ليس تقليداً ابتدائياً له، و هذا بخلاف ما إذا فسّرناه بالاستناد إلى فتوى المجتهد في مقام العمل، لأنه حينئذٍ من تقليد الميت ابتداءً لعدم استناد المكلف إلى شي‌ء من فتاوى المجتهد الميت حال حياته، و إنما التزم بأن يعمل على طبقها فلا يجوز أن يرجع إلى الميت حينئذٍ. و كذلك الكلام في المسألة الثانية لأنه إذا التزم بالعمل </w:t>
      </w:r>
      <w:r>
        <w:rPr>
          <w:rFonts w:ascii="Noor_Lotus" w:hAnsi="Noor_Lotus" w:cs="Noor_Lotus" w:hint="cs"/>
          <w:color w:val="000000"/>
          <w:sz w:val="30"/>
          <w:szCs w:val="30"/>
          <w:rtl/>
          <w:lang w:bidi="fa-IR"/>
        </w:rPr>
        <w:lastRenderedPageBreak/>
        <w:t>بفتيا مجتهد و فسّرنا التقليد بالالتزام حرم عليه العدول عن تقليده لأنه قد قلّده تقليداً صحيحاً و لا مرخّص له للعدول، و هذا بخلاف ما إذا قلنا إن التقليد هو الاستناد إلى فتوى المجتهد في مقام العمل لأنه حينئذٍ لم يتحقق منه تقليد المجتهد ليحرم عليه العدول، بل لا يكون رجوعه لغيره عدولًا من مجتهد إلى مجتهد آخر، هذا.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لكنّا سنبيّن قريباً أن المسألتين لا يختلف حكمهما بالاختلاف في معنى التقليد لعدم ابتنائهما عليه حيث إن لكل من المسألتين مبنى لا يفرق فيه الحال بين أن يكون التقليد بمعنى الالتزام أو بمعنى آخر كما يأتي في محلّه، إذن صحّ ما ذكرناه من أن عنوان التقليد لم يرد في شي‌ء من الأدلة حتى نبحث عن مفهومه.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بقي شي‌ء و هو أن مسألة التقليد ليست تقليدية و توضيحه: أنّا قد أسبقنا أن كل مكلّف يعلم علماً إجمالياً بثبوت أحكام إلزامية في الشريعة المقدسة من وجوب أو تحريم، و به تنجّزت الأحكام الواقعية عليه، و هو يقتضي الخروج عن عهدتها لاستقلال العقل بوجوب الخروج عن عهدة التكاليف المتوجّهة إلى العبد من سيّده و المكلف لدى الامتثال إما أن يأتي بنفس الواجبات الواقعية و يترك المحرمات، و إما أن يعتمد على ما يعذّره على تقدير الخطأ و هو ما قطع بحجيته، إذ لا يجوز لدى العقل الاعتماد على غير ما علم بحجيته حيث يحتمل معه العقاب، و على هذا يترتب أن العامي لا بدّ في استناده إلى فتوى المجتهد أن يكون قاطعاً بحجيتها في حقه، أو يعتمد في ذلك على ما يقطع بحجيته، و لا يسوغ له أن يستند في تقليده على ما لا يعلم بحجيته إذ معه يحتمل العقاب على أفعاله و تروكه و عليه لا يمكن أن تكون مسألة التقليد تقليدية، بل لا بدّ أن تكون ثابتة بالاجتهاد. نعم، لا مانع من التقليد في خصوصياته كما يأتي عليها الكلام، إلّا أن أصل جوازه لا بدّ أن يستند إلى الاجتهاد.</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63‌</w:t>
      </w:r>
    </w:p>
    <w:p w:rsidR="00C236A4" w:rsidRDefault="00C236A4" w:rsidP="00C236A4">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ما يمكن أن يعتمد عليه العامي</w:t>
      </w:r>
      <w:r>
        <w:rPr>
          <w:rFonts w:ascii="Noor_Lotus" w:hAnsi="Noor_Lotus" w:cs="Noor_Lotus" w:hint="cs"/>
          <w:color w:val="000000"/>
          <w:sz w:val="30"/>
          <w:szCs w:val="30"/>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الّذي يمكن أن يعتمد عليه العامي في حجية فتوى المجتهد في حقّه أمران:</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أحدهما: الارتكاز الثابت ببناء العقلاء، حيث جرى بناؤهم في كل حرفة و صنعة بل في كل أمر راجع إلى المعاش و المعاد، على رجوع الجاهل إلى العالم لأنه أهل الخبرة و الاطلاع، و لم يرد من هذه السيرة ردع في الشريعة المقدسة. و هذه السيرة و البناء و إن جاز أن لا يلتفت إليهما العامي مفصلًا، إلّا أنهما مرتكزان في ذهنه بحيث يلتفت إليهما و يعلم بهما تفصيلًا بأدنى إشارة و تنبيه.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ثانيهما: دليل الانسداد، و تقريبه أن كل أحد يعلم بثبوت أحكام إلزامية في حقه كما يعلم أنه غير مفوّض في أفعاله بحيث له أن يفعل ما يشاء و يترك ما يريد، و هذان العلمان ينتجان استقلال العقل بلزوم الخروج عن عهدة التكاليف الواقعية المنجّزة بعلمه، و طريق الخروج عنها منحصر في الاجتهاد و الاحتياط و التقليد.</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الاجتهاد، فهو غير متيسّر على الكثير بل على الجميع، لأن كل مجتهد كان برهة من الزمان مقلداً أو محتاطاً لا محالة، و كونه مجتهداً منذ بلوغه و إن كان قد يتفق إلّا أنه أمر نادر جدّاً، فلا يمكن أن يكون الاجتهاد واجباً عينياً على كل أحد بل لعلّه خلاف الضرورة بين المسلمين.</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الاحتياط، فهو كالاجتهاد غير ميسور له لعدم تمكنه من تشخيص موارده، على أنّا لا نحتمل أن تكون الشريعة المقدسة مبتنية على الاحتياط. إذن يتعيّن على العامي التقليد لانحصار الطريق به. و بهذا الطريق يستكشف العقل أن الشارع قد نصب في الشريعة طريقاً آخر إلى الأحكام الواقعية بالإضافة إلى العامي فلا يسوغ له أن يأخذ بالعمل بمظنوناته و يترك مشكوكاته و موهوماته، و ذلك لأنه ليس للمقلّد ظنّ بالأحكام فإنه ليس من أهل النظر و الاجتهاد. على أن ظنّه كشكّه و وهمه لا أقربية له إلى الواقع بالنسبة إلى شقيقيه، لعدم ابتنائه على النظر في أدلة الأحكام فليس له طريق أقرب إلى الواقع من فتوى مقلّده.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على الجملة أن دليل الانسداد و إن لم يتم بالإضافة إلى المجتهد، فإن من يرى انسداد باب العلم الّذي من مقدماته عدم التمكن من الاجتهاد، كيف يرخّص الرجوع‌</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64‌</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إلى فتوى من يرى انفتاحه و يدعي التمكن من الاجتهاد و ذلك لعلمه بخطئه و مع تخطئته لا يتمكن العامّي من الرجوع إليه، إلّا أنه تام بالإضافة إلى العامّي كما عرفت هذا كلّه فيما يمكن أن يعتمد عليه العامي في المقام.</w:t>
      </w:r>
    </w:p>
    <w:p w:rsidR="00C236A4" w:rsidRDefault="00C236A4" w:rsidP="00C236A4">
      <w:pPr>
        <w:pStyle w:val="NormalWeb"/>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ما دلّ على جواز التقليد</w:t>
      </w:r>
      <w:r>
        <w:rPr>
          <w:rFonts w:ascii="Noor_Lotus" w:hAnsi="Noor_Lotus" w:cs="Noor_Lotus" w:hint="cs"/>
          <w:color w:val="000000"/>
          <w:sz w:val="30"/>
          <w:szCs w:val="30"/>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ما يمكن أن يستدل به المجتهد على جواز التقليد في الشريعة المقدسة فهو أُمور:</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منها: السيرة العقلائية الممضاة بعدم الردع عنها و قد تقدمت، و هي تقتضي جواز التقليد و الإفتاء كليهما.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قوله عزّ من قائل</w:t>
      </w:r>
      <w:r>
        <w:rPr>
          <w:rFonts w:ascii="Noor_Lotus" w:hAnsi="Noor_Lotus" w:cs="me_quran" w:hint="cs"/>
          <w:color w:val="008000"/>
          <w:sz w:val="26"/>
          <w:szCs w:val="26"/>
          <w:rtl/>
          <w:lang w:bidi="fa-IR"/>
        </w:rPr>
        <w:t xml:space="preserve"> فَلَوْ لٰا نَفَرَ مِنْ كُلِّ فِرْقَةٍ مِنْهُمْ طٰائِفَةٌ لِيَتَفَقَّهُوا فِي الدِّينِ وَ لِيُنْذِرُوا قَوْمَهُمْ إِذٰا رَجَعُوا إِلَيْهِمْ لَعَلَّهُمْ يَحْذَرُونَ</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فإنها تدلنا على وجوب النفر حسبما تقتضيه لولا التحضيضية، كما تدلنا على وجوب التفقه و الإنذار لأنهما الغاية الداعية إلى الأمر بالنفر، و تدلنا أيضاً على أن مطلوبية التفقه و الإنذار ليست لأجل نفسيهما، بل من جهة احتمال التحذر بواسطتهما، فالغاية من ذينك الواجبين هو التحذر عند الإنذار، و حيث إن الآية مطلقة فيستفاد منها أن التحذر عقيب الإنذار واجب مطلقاً، سواء حصل العلم من إنذار المنذرين أم لم يحصل.</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توضيحه: أن الحذر على ما يستفاد من مشتقاته و موارد استعمالاته، عنوان للعمل و ليس عبارة عن الخوف النفساني فحسب، و معناه التحفظ عن الوقوع فيما لا يراد من المخاوف و المهالك، مثلًا إذا حمل المسافر سلاحه في الطريق المحتمل فيه اللّص أو السبع للمدافعة عن نفسه أو ماله يقال: إنه تحذّر فهو فعل اختياري و ليس بمعنى الخوف كما مر، و قد دلت الآية المباركة على وجوبه، و بما أن التحذر غير مقيد فيها بصورة حصول العلم من إنذار المنذرين لكي يجب التحذر بالعلم المستند إلى الإنذار، فلا مناص من الالتزام بوجوب التحذر عقيب الإنذار مطلقاً، حصل للمتحذر علم من إنذار المنذرين أم لم يحصل.</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التوبة 9: 122.</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lastRenderedPageBreak/>
        <w:t>موسوعة الإمام الخوئي، ج‌1، ص: 65‌</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و على الجملة أن للآية المباركة دلالات.</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منها: دلالتها على وجوب التقليد في الأحكام، لدلالتها على وجوب التحذر بانذار الفقيه و هو إنما يتحقق بالعمل على إنذاره و فتواه.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دلالتها على وجوب الإفتاء، و ذلك لدلالتها على وجوب الإنذار فإن الإنذار قد يكون بالدلالة المطابقية وفد يكون ضمنياً أو بالالتزام، و إفتاء المجتهد بالحرمة أو الوجوب يتضمن الإنذار باستحقاق العقاب عند تركه الواجب أو إتيانه الحرام.</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دلالتها على حجية إنذار الفقيه و إفتائه، و ذلك لأنه لو لم يكن إنذاره حجة شرعاً، لم يكن أي مقتض لوجوب التحذر بالإنذار لقاعدة قبح العقاب بلا بيان فوجوب التحذّر عند إنذار الفقيه يستلزم حجية الإنذار لا محالة، هذا.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يقال: إن الفقاهة و الاجتهاد في الصدر الأوّل غير الفقاهة و الاجتهاد في العصور المتأخرة، لأن التفقه في الأعصار السابقة إنما كان بسؤال الأحكام و سماعها عن المعصومين (عليهم السّلام)، و لم يكن وقتئذٍ من الاجتهاد بالمعنى المصطلح عليه عين و لا أثر، إذن لا دلالة للآية المباركة على حجية إنذار الفقيه بالمعنى المصطلح لتدل على حجية فتواه، و إنما تدل على حجية النقل و الرواية، لأن إنذار الفقيه بالمعنى المتقدم إنما هو بنقله الحكم الّذي سمعه من مصادره، أو بإخباره عن أن الفعل يترتب على ارتكابه أو على عدم ارتكابه العقاب، و أين هذا من التفقه بالمعنى المصطلح عليه لأنه أمر آخر يتوقف على إعمال الدقة و النظر.</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هذه المناقشة و إن أوردها بعض مشايخنا المحققين (قدّس اللّٰه أسرارهم)</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إلّا أنها مما لا يمكن المساعدة عليه و ذلك:</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أما أوّلًا: فلأن الآية المباركة لمكان أخذها عنوان الفقاهة في موضوع وجوب التحذر، ليست لها أيّة دلالة على حجية الخبر و الرواية من جهتين:</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إحداهما: أن حجية الرواية لا يعتبر فيها أن يكون الناقل ملتفتاً إلى معناها فضلًا‌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رسالة في الاجتهاد و التقليد (الأصفهاني): 18.</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66‌</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عن أن يكون فقيهاً، لكفاية الوثاقة في حجية نقل الألفاظ المسموعة عن المعصوم (عليه السّلام) من غير أن يتوقف على فهم المعنى بوجه.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ثانيتهما: أن الراوي لا يعتبر في حجية رواياته أن يصدق عليه عنوان الفقيه، لأنه إذا روى رواية أو روايتين أو أكثر لم يصدق عليه الفقيه و إن كان ملتفتاً إلى معناها لضرورة أن العلم بحكم أو بحكمين لا يكفي في صدق الفقيه مع حجية رواياته شرعاً.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اللّهُمَّ إلّا أن يقال: إن الآية المباركة إذا دلت على حجية الخبر عند صدق الفقيه على ناقله، دلت على حجيته عند عدم كون الراوي فقيهاً لعدم القول بالفصل، إلّا أن ذلك استدلال آخر غير مستند إلى الآية، كيف و قد عرفت أن الآية قد أُخذ في موضوعها التفقه في الدين. فظهر بما سردناه أن دلالة الآية المباركة على حجية فتوى المجتهد و جواز التقليد أقرب و أظهر من دلالتها على حجية الخبر.</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أما ثانياً: فلعدم كون التفقه و الاجتهاد في الأعصار السابقة مغايراً لهما في العصور المتأخرة، بل الاجتهاد أمر واحد في الأعصار السابقة و الآتية و الحاضرة، حيث إن معناه معرفة الأحكام بالدليل و لا اختلاف في ذلك بين العصور. نعم، يتفاوت الاجتهاد في تلك العصور مع الاجتهاد في مثل زماننا هذا في السهولة و الصعوبة حيث إن التفقه في الصدر الأوّل إنما كان بسماع الحديث، و لم تكن معرفتهم للأحكام متوقفة </w:t>
      </w:r>
      <w:r>
        <w:rPr>
          <w:rFonts w:ascii="Noor_Lotus" w:hAnsi="Noor_Lotus" w:cs="Noor_Lotus" w:hint="cs"/>
          <w:color w:val="000000"/>
          <w:sz w:val="30"/>
          <w:szCs w:val="30"/>
          <w:rtl/>
          <w:lang w:bidi="fa-IR"/>
        </w:rPr>
        <w:lastRenderedPageBreak/>
        <w:t>على تعلم اللغة، لكونهم من أهل اللسان أو لو كانوا من غيرهم و لم يكونوا عارفين باللغة كانوا يسألونها عن الإمام (عليه السّلام) فلم يكن اجتهادهم متوقفاً على مقدمات، أما اللغة فلما عرفت، و أمّا حجية الظهور و اعتبار الخبر الواحد و هما الركنان الركينان في الاجتهاد فلأجل أنهما كانتا عندهم من المسلّمات. و هذا بخلاف الأعصار المتأخرة لتوقف الاجتهاد فيها على مقدمات كثيرة، إلّا أن مجرد ذلك لا يوجب التغيير في معنى الاجتهاد، فإن المهم مما يتوقف عليه التفقه في العصور المتأخرة إنما هو مسألة تعارض الروايات، إلّا أن التعارض بين الأخبار كان يتحقق في تلك العصور أيضاً، و من هنا كانوا يسألونهم (عليهم السّلام) عمّا إذا ورد عنهم خبران متعارضان. إذن التفقه و الاجتهاد بمعنى إعمال النظر متساويان في الأعصار السابقة و اللّاحقة و قد كانا متحققين في الصدر الأول أيضاً. و من هنا ورد في مقبولة عمر بن‌</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67‌</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حنظلة: «ينظران من كان منكم ممن قد روى حديثنا و نظر في حلالنا و حرامنا و عرف أحكامنا ...»</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في بعض الأخبار ورد الأمر بالإفتاء صريحاً</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فدعوى أن الفقاهة و الاجتهاد بالمعنى المصطلح عليه لا عين و لا أثر له في الأعصار السالفة مما لا وجه له. و معه لا موجب لاختصاص الآية المباركة بالحكاية و الإخبار، لشمولها الإفتاء أيضاً كما عرفت. فدلالة الآية على حجية الفتوى و جواز التقليد مما لا مناقشة فيه.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قوله عزّ من قائل</w:t>
      </w:r>
      <w:r>
        <w:rPr>
          <w:rFonts w:ascii="Noor_Lotus" w:hAnsi="Noor_Lotus" w:cs="me_quran" w:hint="cs"/>
          <w:color w:val="008000"/>
          <w:sz w:val="26"/>
          <w:szCs w:val="26"/>
          <w:rtl/>
          <w:lang w:bidi="fa-IR"/>
        </w:rPr>
        <w:t xml:space="preserve"> فَسْئَلُوا أَهْلَ الذِّكْرِ إِنْ كُنْتُمْ لٰا تَعْلَمُونَ*</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 xml:space="preserve"> حيث دلت على وجوب السؤال عند الجهل، و من الظاهر أن السؤال مقدمة للعمل فمعنى الآية المباركة: فاسألوا أهل الذّكر لأجل أن تعملوا على طبق الجواب، لا أن المقصود الأصلي هو السؤال في نفسه لوضوح أنه لغو لا أثر له، فلا مصحح للأمر به لو لم يكن مقدمة للعمل. فتدلنا الآية المباركة على جواز رجوع الجاهل إلى العالم و هو المعبّر عنه بالتقليد، و على حجية فتوى العالم على الجاهل، لأنه لو لم يكن قول العالم حجة على السائل لأصبح الأمر بالسؤال عنه لغواً ظاهراً.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و دعوى أن المراد بها وجوب السؤال عنهم حتى يحصل العلم للسائل من أجوبتهم و يعمل على طبق علمه، و أن معنى الآية: فاسألوا لكي تعلموا فتعملوا بعلمكم، من البعد بمكان و ذلك لأن مثل هذا الخطاب إنما هو لبيان الوظيفة عند عدم العلم و المعرفة فهو في قبال العلم بالحال، لا أنه مقدمة لتحصيل العلم، مثلًا يقال: إذا لست بطبيب فراجع الطبيب في العلاج، فإن المتفاهم العرفي من مثله أن الغاية من الأمر بالمراجعة، إنما هو العمل على طبق قول الطبيب، لا أن الغاية صيرورة المريض طبيباً و عالماً بالعلاج حتى يعمل على طبق علمه و نظره، فقوله راجع الطبيب، معناه: راجعه لتعمل على نظره لا لتكون طبيباً و تعمل بعلمك.</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وسائل الشيعة 27: 136/ أبواب صفات القاضي ب 11 ح 1.</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كأمره (عليه السّلام) لأبان بن تغلب حيث قال: اجلس في مسجد المدينة و أفت الناس ... راجع رجال النجاشي ص 7.</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الأنبياء 21: 7.</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68‌</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إذن معنى الآية المباركة: أنه إذا لستم بعالمين فاسألوا أهل الذكر للعمل على طبق قولهم و جوابهم، فلا مناقشة في دلالة الآية المباركة من هذه الجهة.</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قد يتوهم أن تفسير أهل الذكر في الأخبار، بأهل الكتاب أو الأئمة (عليهم السّلام) ينافي الاستدلال بها على جواز التقليد و رجوع الجاهل إلى العالم و الفقيه في الأحكام.</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 xml:space="preserve">و يندفع بأن ورود آية في مورد لا يقتضي اختصاصها بذلك المورد، و الآية المباركة قد تضمنت كبرى كليةً قد تنطبق على أهل الكتاب و قد تنطبق على الأئمة (عليهم السّلام) و قد تنطبق على العالم و الفقيه، و ذلك حسبما تقتضيه المناسبات على اختلافها باختلاف المقامات، فإن المورد إذا كان من الاعتقاديات كالنبوّة و ما يرجع إلى صفات النبي (صلّى اللّٰه عليه و آله و سلم) فالمناسب السؤال عن علماء أهل </w:t>
      </w:r>
      <w:r>
        <w:rPr>
          <w:rFonts w:ascii="Noor_Lotus" w:hAnsi="Noor_Lotus" w:cs="Noor_Lotus" w:hint="cs"/>
          <w:color w:val="000000"/>
          <w:sz w:val="30"/>
          <w:szCs w:val="30"/>
          <w:rtl/>
          <w:lang w:bidi="fa-IR"/>
        </w:rPr>
        <w:lastRenderedPageBreak/>
        <w:t>الكتاب، لعلمهم بآثارها و علاماتها، كما أن المورد لو كان من الأحكام الفرعية فالمناسب الرجوع فيه إلى النبي (صلّى اللّٰه عليه و آله و سلم) أو الأئمة (عليهم السّلام) و على تقدير عدم التمكّن من الوصول إليهم، فالمناسب الرجوع إلى الفقهاء.</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على الجملة، تضمنت الآية المباركة كبرى رجوع الجاهل إلى العالم المنطبقة على كل من أهل الكتاب و غيرهم، فالاستدلال بها من تلك الناحية أيضاً مما لا خدشة فيه، هذا.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لكن الصحيح أن الآية المباركة لا يمكن الاستدلال بها على جواز التقليد، و ذلك لأن موردها ينافي القبول التعبدي، حيث إن موردها من الأُصول الاعتقادية بقرينة الآية السابقة عليها و هي</w:t>
      </w:r>
      <w:r>
        <w:rPr>
          <w:rFonts w:ascii="Noor_Lotus" w:hAnsi="Noor_Lotus" w:cs="me_quran" w:hint="cs"/>
          <w:color w:val="008000"/>
          <w:sz w:val="26"/>
          <w:szCs w:val="26"/>
          <w:rtl/>
          <w:lang w:bidi="fa-IR"/>
        </w:rPr>
        <w:t xml:space="preserve"> وَ مٰا أَرْسَلْنٰا قَبْلَكَ إِلّٰا رِجٰالًا نُوحِي إِلَيْهِمْ فَسْئَلُوا أَهْلَ الذِّكْرِ إِنْ كُنْتُمْ لٰا تَعْلَمُونَ</w:t>
      </w:r>
      <w:r>
        <w:rPr>
          <w:rFonts w:ascii="Noor_Lotus" w:hAnsi="Noor_Lotus" w:cs="Noor_Lotus" w:hint="cs"/>
          <w:color w:val="000000"/>
          <w:sz w:val="30"/>
          <w:szCs w:val="30"/>
          <w:rtl/>
          <w:lang w:bidi="fa-IR"/>
        </w:rPr>
        <w:t>. و هو ردّ لاستغرابهم تخصيصه سبحانه رجلًا بالنبوة من بينهم فموردها النبوة و يعتبر فيها العلم و المعرفة و لا يكفي فيها مجرد السؤال من دون أن يحصل به الإذعان. فلا مجال للاستدلال بها على قبول فتوى الفقيه تعبداً من دون أن يحصل منها العلم بالمسألة.</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69‌</w:t>
      </w:r>
    </w:p>
    <w:p w:rsidR="00C236A4" w:rsidRDefault="00C236A4" w:rsidP="00C236A4">
      <w:pPr>
        <w:bidi/>
        <w:rPr>
          <w:rFonts w:ascii="Noor_Titr" w:hAnsi="Noor_Titr" w:cs="Noor_Titr" w:hint="cs"/>
          <w:color w:val="286564"/>
          <w:sz w:val="27"/>
          <w:szCs w:val="27"/>
          <w:rtl/>
          <w:lang w:bidi="fa-IR"/>
        </w:rPr>
      </w:pPr>
      <w:r>
        <w:rPr>
          <w:rFonts w:ascii="Noor_NazliBold" w:hAnsi="Noor_NazliBold" w:cs="Noor_Lotus" w:hint="cs"/>
          <w:color w:val="6C3A00"/>
          <w:sz w:val="27"/>
          <w:szCs w:val="27"/>
          <w:rtl/>
          <w:lang w:bidi="fa-IR"/>
        </w:rPr>
        <w:t>الآيات الناهية عن التقليد</w:t>
      </w:r>
      <w:r>
        <w:rPr>
          <w:rFonts w:ascii="Noor_Lotus" w:hAnsi="Noor_Lotus" w:cs="Noor_Lotus" w:hint="cs"/>
          <w:color w:val="000000"/>
          <w:sz w:val="30"/>
          <w:szCs w:val="30"/>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ثمّ إن هناك آيات وردت في النهي عن التقليد و ذمه كقوله عزّ من قائل</w:t>
      </w:r>
      <w:r>
        <w:rPr>
          <w:rFonts w:ascii="Noor_Lotus" w:hAnsi="Noor_Lotus" w:cs="me_quran" w:hint="cs"/>
          <w:color w:val="008000"/>
          <w:sz w:val="26"/>
          <w:szCs w:val="26"/>
          <w:rtl/>
          <w:lang w:bidi="fa-IR"/>
        </w:rPr>
        <w:t xml:space="preserve"> وَ إِذٰا قِيلَ لَهُمْ تَعٰالَوْا إِلىٰ مٰا أَنْزَلَ اللّٰهُ وَ إِلَى الرَّسُولِ قٰالُوا حَسْبُنٰا مٰا وَجَدْنٰا عَلَيْهِ آبٰاءَنٰا أَ وَ لَوْ كٰانَ آبٰاؤُهُمْ لٰا يَعْلَمُونَ شَيْئاً وَ لٰا يَهْتَدُونَ</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قوله</w:t>
      </w:r>
      <w:r>
        <w:rPr>
          <w:rFonts w:ascii="Noor_Lotus" w:hAnsi="Noor_Lotus" w:cs="me_quran" w:hint="cs"/>
          <w:color w:val="008000"/>
          <w:sz w:val="26"/>
          <w:szCs w:val="26"/>
          <w:rtl/>
          <w:lang w:bidi="fa-IR"/>
        </w:rPr>
        <w:t xml:space="preserve"> وَ إِذٰا قِيلَ لَهُمُ اتَّبِعُوا مٰا أَنْزَلَ اللّٰهُ قٰالُوا بَلْ نَتَّبِعُ مٰا أَلْفَيْنٰا عَلَيْهِ آبٰاءَنٰا أَ وَ لَوْ كٰانَ آبٰاؤُهُمْ لٰا يَعْقِلُونَ شَيْئاً وَ لٰا يَهْتَدُونَ</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و غير ذلك من الآيات إلّا أنها أجنبية عمّا نحن بصدده، فإن محل الكلام إنما هو التقليد في الأحكام الفرعية بالإضافة إلى العوام غير المتمكن من تحصيل العلم بالمسألة و الآيات المباركة إنما وردت في ذم التقليد في الأُصول، حيث كانوا يتبعون آباءهم في أديانهم، مع أن الفطرة قاضية بعدم جواز التقليد من مثلهم و لو في غير الأصول و ذلك لأنه من رجوع الجاهل إلى جاهل مثله و من قيادة الأعمى لمثله، فالذم فيها راجع إلى ذلك. مضافاً إلى أن الأُمور الاعتقادية يعتبر فيها العلم و المعرفة و لا يسوغ فيها الاكتفاء </w:t>
      </w:r>
      <w:r>
        <w:rPr>
          <w:rFonts w:ascii="Noor_Lotus" w:hAnsi="Noor_Lotus" w:cs="Noor_Lotus" w:hint="cs"/>
          <w:color w:val="000000"/>
          <w:sz w:val="30"/>
          <w:szCs w:val="30"/>
          <w:rtl/>
          <w:lang w:bidi="fa-IR"/>
        </w:rPr>
        <w:lastRenderedPageBreak/>
        <w:t>بالتقليد، و ليس في شي‌ء من الآيات المتقدمة ما يدل على النهي عن التقليد في الفروع عن العالمين بها، لمن لا يتمكن من العلم بالأحكام.</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الآيات الناهية عن الظن، فهي أيضاً كسابقتها في عدم الدلالة على حرمة التقليد لما بيّناه في محلّه من أن النهي في تلك الآيات ليس نهياً مولوياً، و إنما هو إرشاد إلى ما استقل به العقل، إذ الظن يقترن دائماً باحتمال الخلاف فالعمل به مقرون باحتمال العقاب لا محالة، و دفع العقاب المحتمل مما استقل به من العقل، و النهي في الآيات المباركة إرشاد إليه. و من ثمة قلنا في محله إن حجية أي حجة لا بدّ من أن تنتهي إلى العلم، إذ لو لم تكن كذلك لاحتمل معها العقاب و العقل مستقل بلزوم دفعه.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على الجملة، أن دلالة آية النفر على حجية الفتوى و جواز التقليد مما لا إشكال فيه، و لا يعارضها شي‌ء من الآيات المباركة.</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منها: الروايات الدالة على جواز العمل بالتقليد و حجية الفتوى في الفروع، و هي كثيرة بالغة حدّ التواتر الإجمالي و إن لم تكن متواترة مضموناً. و بها يظهر أن الأدلة‌</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المائدة 5: 104.</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البقرة 2: 170.</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70‌</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اللفظية و السيرة و العقل مطبقة على جواز التقليد و حجية فتوى الفقيه. و تلك الأخبار على طوائف:</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الاولى: الأخبار المشتملة على إرجاع الناس إلى أشخاص معينين أو إلى عنوان من العناوين المنطبقة عليهم، كالارجاع إلى العمرى و ابنه، و يونس بن عبد الرحمن و زكريا بن آدم، و يونس مولى آل يقطين، و الإرجاع إلى رواة حديثهم إلى غير ذلك من الروايات</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حيث إن دلالتها على الإرجاع إلى هؤلاء </w:t>
      </w:r>
      <w:r>
        <w:rPr>
          <w:rFonts w:ascii="Noor_Lotus" w:hAnsi="Noor_Lotus" w:cs="Noor_Lotus" w:hint="cs"/>
          <w:color w:val="000000"/>
          <w:sz w:val="30"/>
          <w:szCs w:val="30"/>
          <w:rtl/>
          <w:lang w:bidi="fa-IR"/>
        </w:rPr>
        <w:lastRenderedPageBreak/>
        <w:t>مطلقة فتشمل ما إذا كان ما يؤدّونه في مقام الجواب، ما وصل إليه نظرهم من الجمع بين الروايتين المتعارضتين أو حمل المطلق على المقيد أو التمسك بالعام عند الشك في التخصيص أو غير ذلك من أنحاء الاجتهاد و الاستنباط، و ما إذا كان جوابهم بنقل الألفاظ الّتي سمعوها عنهم (عليهم السّلام).</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أظهر منها قوله (عليه السّلام) في رواية إسحاق بن يعقوب: «و أما الحوادث‌</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أحمد بن إسحاق عن أبي الحسن (عليه السّلام) قال: «سألته و قلت: من أُعامل؟ و عمّن آخذ؟ و قول من أقبل؟ فقال: العمري ثقتي فما أدى إليك عني، فعني يؤدي و ما قال لك عني فعني يقول فاسمع له و أطع فإنه الثقة المأمون». قال: «و سألت أبا محمد (عليه السّلام) عن مثل ذلك فقال: العمري و ابنه ثقتان فما أديا إليك عني، فعني يؤديان و ما قالا لك فعني يقولان، فاسمع لهما و أطعهما فإنهما الثقتان المأمونان».</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عبد العزيز بن المهتدي و الحسن بن علي بن يقطين جميعاً عن الرضا (عليه السّلام) قال: «قلت: لا أكاد أصل إليك أسألك عن كل ما أحتاج إليه من معالم ديني أ فيونس بن عبد الرحمٰن ثقة آخذ عنه ما أحتاج إليه من معالم ديني؟ فقال: نعم».</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عبد العزيز بن المهتدي قال: «قلت للرضا (عليه السّلام) إن شقتي بعيدة فلست أصل إليك في كل وقت، فآخذ معالم ديني عن يونس مولى آل يقطين؟ قال: نعم».</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علي بن المسيب الهمداني قال: «قلت للرضا (عليه السّلام): شقتي بعيدة و لست أصل إليك في كل وقت فممن آخذ معالم ديني؟ قال: من زكريا بن آدم القمي المأمون على الدين و الدنيا».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إسحاق بن يعقوب قال: «سألت محمد بن عثمان العمري أن يوصل لي كتاباً قد سألت فيه عن مسائل أشكلت عليّ فورد التوقيع بخط مولانا صاحب الزمان (عليه السّلام) أما ما سألت عنه أرشدك اللّٰه و ثبّتك ... إلى أن قال: و أما الحوادث الواقعة فارجعوا فيها إلى رواة حديثنا». وسائل الشيعة 27: 138/ أبواب صفات القاضي ب 11، ح 4، 9، 27، 33، 35.</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71‌</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t>الواقعة فارجعوا فيها إلى رواة حديثنا»</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xml:space="preserve"> و ذلك لأن الحوادث الواقعة قد لا تكون منصوصة فلا يمكن أن يجاب فيها إلّا بالاجتهاد و إعمال النظر. و أما التعبير فيها برواة الحديث دون العلماء أو الفقهاء، فلعل السرّ فيه أن علماء الشيعة ليس لهم رأي من عند أنفسهم في قبال الأئمة (عليهم السّلام) فإنهم لا يستندون </w:t>
      </w:r>
      <w:r>
        <w:rPr>
          <w:rFonts w:ascii="Noor_Lotus" w:hAnsi="Noor_Lotus" w:cs="Noor_Lotus" w:hint="cs"/>
          <w:color w:val="000000"/>
          <w:sz w:val="30"/>
          <w:szCs w:val="30"/>
          <w:rtl/>
          <w:lang w:bidi="fa-IR"/>
        </w:rPr>
        <w:lastRenderedPageBreak/>
        <w:t>إلى القياس و الاستحسان و الاستقراء الناقص و غير ذلك مما يعتمد عليه المخالفون، و إنما يفتون بالروايات المأثورة عنهم (عليهم السّلام) فهم في الحقيقة ليسوا إلّا رواة حديثهم.</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الثانية: الأخبار المشتملة على الأمر الصريح بافتاء بعض أصحابهم (عليهم السّلام) كقوله لأبان بن تغلب: «اجلس في (مسجد) مجلس المدينة و أفت الناس فإني أحب أن يرى في شيعتي مثلك»</w:t>
      </w:r>
      <w:r>
        <w:rPr>
          <w:rFonts w:ascii="Noor_Lotus" w:hAnsi="Noor_Lotus" w:cs="Noor_Lotus" w:hint="cs"/>
          <w:color w:val="0032DC"/>
          <w:sz w:val="30"/>
          <w:szCs w:val="30"/>
          <w:rtl/>
          <w:lang w:bidi="fa-IR"/>
        </w:rPr>
        <w:t xml:space="preserve"> «2»</w:t>
      </w:r>
      <w:r>
        <w:rPr>
          <w:rFonts w:ascii="Noor_Lotus" w:hAnsi="Noor_Lotus" w:cs="Noor_Lotus" w:hint="cs"/>
          <w:color w:val="000000"/>
          <w:sz w:val="30"/>
          <w:szCs w:val="30"/>
          <w:rtl/>
          <w:lang w:bidi="fa-IR"/>
        </w:rPr>
        <w:t xml:space="preserve"> و قوله لمعاذ بن مسلم النحوي: «بلغني أنك تقعد في الجامع فتفتي الناس؟ قلت: نعم و أردت أن أسألك عن ذلك قبل أن أخرج، إني أقعد في المسجد فيجي‌ء الرجل فيسألني عن الشي‌ء فإذا عرفته بالخلاف لكم أخبرته بما يفعلون، و يجي‌ء الرجل أعرفه بمودّتكم و حبكم فأُخبره بما جاء عنكم، و يجي‌ء الرجل لا أعرفه و لا أدري من هو فأقول جاء عن فلان كذا، و جاء عن فلان كذا فادخل قولكم فيما بين ذلك فقال لي: اصنع كذا فإني كذا أصنع»</w:t>
      </w:r>
      <w:r>
        <w:rPr>
          <w:rFonts w:ascii="Noor_Lotus" w:hAnsi="Noor_Lotus" w:cs="Noor_Lotus" w:hint="cs"/>
          <w:color w:val="0032DC"/>
          <w:sz w:val="30"/>
          <w:szCs w:val="30"/>
          <w:rtl/>
          <w:lang w:bidi="fa-IR"/>
        </w:rPr>
        <w:t xml:space="preserve"> «3»</w:t>
      </w:r>
      <w:r>
        <w:rPr>
          <w:rFonts w:ascii="Noor_Lotus" w:hAnsi="Noor_Lotus" w:cs="Noor_Lotus" w:hint="cs"/>
          <w:color w:val="000000"/>
          <w:sz w:val="30"/>
          <w:szCs w:val="30"/>
          <w:rtl/>
          <w:lang w:bidi="fa-IR"/>
        </w:rPr>
        <w:t>.</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هذه الطائفة لا إشكال في دلالتها على جواز الإفتاء في الأحكام، كما أنها تدلنا على جواز التقليد و الرجوع إلى مثل أبان أو معاذ، إذ لو لم يجز تقليده بأن لم يكن فتواه حجة على السائل لم يكن فائدة في أمرهم (عليهم السّلام) بإفتائه لأنه حينئذ لغو و مما لا أثر له.</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الثالثة: الأخبار الناهية عن الإفتاء بغير علم و عن القضاء بالرأي و الاستحسان و المقاييس، و هي كثيرة عنون لها باباً في الوسائل و أسماه باب عدم جواز القضاء و الحكم بالرأي و الاجتهاد و المقاييس و نحوها من الاستنباطات الظنية في نفس‌</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وسائل الشيعة 27: 140/ أبواب صفات القاضي ب 11 ح 9.</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(2) المروية في رجال النجاشي ص 7 8.</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(3) وسائل الشيعة 27: 148/ أبواب صفات القاضي ب 11 ح 36.</w:t>
      </w:r>
    </w:p>
    <w:p w:rsidR="00C236A4" w:rsidRDefault="00C236A4" w:rsidP="00C236A4">
      <w:pPr>
        <w:pStyle w:val="NormalWeb"/>
        <w:bidi/>
        <w:jc w:val="center"/>
        <w:rPr>
          <w:rFonts w:ascii="Noor_Lotus" w:hAnsi="Noor_Lotus" w:cs="Noor_Lotus" w:hint="cs"/>
          <w:color w:val="000000"/>
          <w:sz w:val="30"/>
          <w:szCs w:val="30"/>
          <w:rtl/>
          <w:lang w:bidi="fa-IR"/>
        </w:rPr>
      </w:pPr>
      <w:r>
        <w:rPr>
          <w:rFonts w:ascii="Noor_Titr" w:hAnsi="Noor_Titr" w:cs="Noor_Titr" w:hint="cs"/>
          <w:color w:val="286564"/>
          <w:sz w:val="27"/>
          <w:szCs w:val="27"/>
          <w:rtl/>
          <w:lang w:bidi="fa-IR"/>
        </w:rPr>
        <w:t>موسوعة الإمام الخوئي، ج‌1، ص: 72‌</w:t>
      </w:r>
    </w:p>
    <w:p w:rsidR="00C236A4" w:rsidRDefault="00C236A4" w:rsidP="00C236A4">
      <w:pPr>
        <w:bidi/>
        <w:rPr>
          <w:rFonts w:ascii="Noor_Titr" w:hAnsi="Noor_Titr" w:cs="Noor_Titr" w:hint="cs"/>
          <w:color w:val="286564"/>
          <w:sz w:val="27"/>
          <w:szCs w:val="27"/>
          <w:rtl/>
          <w:lang w:bidi="fa-IR"/>
        </w:rPr>
      </w:pPr>
      <w:r>
        <w:rPr>
          <w:rFonts w:ascii="Noor_Lotus" w:hAnsi="Noor_Lotus" w:cs="Noor_Lotus" w:hint="cs"/>
          <w:color w:val="00663A"/>
          <w:sz w:val="30"/>
          <w:szCs w:val="30"/>
          <w:rtl/>
          <w:lang w:bidi="fa-IR"/>
        </w:rPr>
        <w:t>بالعمل بقول مجتهد معين و إن لم يعمل بعد، بل و لو لم يأخذ فتواه، فإذا أخذ رسالته و التزم بالعمل بما فيها كفى في تحقق التقليد (1).</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lastRenderedPageBreak/>
        <w:t>______________________________</w:t>
      </w:r>
      <w:r>
        <w:rPr>
          <w:rFonts w:ascii="Noor_Lotus" w:hAnsi="Noor_Lotus" w:cs="Noor_Lotus" w:hint="cs"/>
          <w:color w:val="000000"/>
          <w:sz w:val="30"/>
          <w:szCs w:val="30"/>
          <w:rtl/>
          <w:lang w:bidi="fa-IR"/>
        </w:rPr>
        <w:br/>
        <w:t>الأحكام الشرعية</w:t>
      </w:r>
      <w:r>
        <w:rPr>
          <w:rFonts w:ascii="Noor_Lotus" w:hAnsi="Noor_Lotus" w:cs="Noor_Lotus" w:hint="cs"/>
          <w:color w:val="0032DC"/>
          <w:sz w:val="30"/>
          <w:szCs w:val="30"/>
          <w:rtl/>
          <w:lang w:bidi="fa-IR"/>
        </w:rPr>
        <w:t xml:space="preserve"> «1»</w:t>
      </w:r>
      <w:r>
        <w:rPr>
          <w:rFonts w:ascii="Noor_Lotus" w:hAnsi="Noor_Lotus" w:cs="Noor_Lotus" w:hint="cs"/>
          <w:color w:val="000000"/>
          <w:sz w:val="30"/>
          <w:szCs w:val="30"/>
          <w:rtl/>
          <w:lang w:bidi="fa-IR"/>
        </w:rPr>
        <w:t>. و هي تدل على حرمة الإفتاء بمثل القياس و الاستحسان و غيرهما مما هو متداول عند المخالفين لأنه من الإفتاء بغير علم، كما أنها تدل على جواز الإفتاء عن مدرك صحيح كالأخبار المأثورة عنهم (عليهم السّلام) على ما هو المتعارف عند علماء الشيعة (قدّس اللّٰه أسرارهم).</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(1) إن من يجوز تقليده إما أن يتحد و إما أن يتعدد، و على الثاني إما أن يتفقوا في الفتوى و إما أن يختلفوا، و على جميع هذه التقادير لا يرجع التقييد بالتعيين في كلامه (قدّس سرّه) إلى محصل و ذلك:</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أمّا في صورة الاتحاد، فلوضوح أنه لا تعدد لمن يجوز تقليده ليجب تعيينه أو لا يجب.</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عند التعدد مع الاتفاق في الفتوى، فلما تأتي الإشارة إليه في المسألة الثامنة عشرة من أن الحجية إنما ترتبت على طبيعي فتوى الفقيه على نحو صرف الوجود و هذا ينطبق على القليل و الكثير. إذن الحجة هو الجامع بين الفتويين أو الفتاوى سواء تساووا في الفضيلة أم اختلفوا، فإن حال المقام حال الخبرين إذا دلّ كلاهما على حكم واحد، حيث إن المجتهد إذا أفتى مستنداً إلى الجامع بينهما، فقد استند إلى الحجة و إن لم يعيّن أحدهما، إذ لا دليل على لزوم تعيين المستند بوجه، بل التعيين أمر غير ممكن لأنه بلا مرجح، فالحجة هو الجامع بين الروايتين.</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و أمّا عند التعدد مع الاختلاف في الفتوى، فلما يوافيك في المسألة الثالثة عشرة من أن الوظيفة حينئذٍ هو الاحتياط، لسقوط الفتويين أو الفتاوى عن الحجية بالتعارض فلا حجة ليجب تعيينها أو لا يجب.</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هذا كلّه إذا أُريد بالمعيّن ما يقابل المتعدد. و أمّا لو أُريد به ما يقابل المردد فالتقييد صحيح، إلّا أنه أمر لا حاجة إليه لأن المردد لا ماهية و لا وجود له ليكون قابلًا للحكم عليه بالحجية أو بغيرها.</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000000"/>
          <w:sz w:val="30"/>
          <w:szCs w:val="30"/>
          <w:rtl/>
          <w:lang w:bidi="fa-IR"/>
        </w:rPr>
        <w:t>______________________________</w:t>
      </w:r>
      <w:r>
        <w:rPr>
          <w:rFonts w:ascii="Noor_Lotus" w:hAnsi="Noor_Lotus" w:cs="Noor_Lotus" w:hint="cs"/>
          <w:color w:val="000000"/>
          <w:sz w:val="30"/>
          <w:szCs w:val="30"/>
          <w:rtl/>
          <w:lang w:bidi="fa-IR"/>
        </w:rPr>
        <w:br/>
      </w:r>
      <w:r>
        <w:rPr>
          <w:rFonts w:ascii="Noor_Lotus" w:hAnsi="Noor_Lotus" w:cs="Noor_Lotus" w:hint="cs"/>
          <w:color w:val="6C3934"/>
          <w:sz w:val="21"/>
          <w:szCs w:val="21"/>
          <w:rtl/>
          <w:lang w:bidi="fa-IR"/>
        </w:rPr>
        <w:t>(1) وسائل الشيعة 27: 35/ أبواب صفات القاضي ب 6.</w:t>
      </w:r>
    </w:p>
    <w:p w:rsidR="00C236A4" w:rsidRDefault="00C236A4" w:rsidP="00C236A4">
      <w:pPr>
        <w:pStyle w:val="NormalWeb"/>
        <w:bidi/>
        <w:rPr>
          <w:rFonts w:ascii="Noor_Titr" w:hAnsi="Noor_Titr" w:cs="Noor_Titr" w:hint="cs"/>
          <w:color w:val="286564"/>
          <w:sz w:val="27"/>
          <w:szCs w:val="27"/>
          <w:rtl/>
          <w:lang w:bidi="fa-IR"/>
        </w:rPr>
      </w:pPr>
      <w:r>
        <w:rPr>
          <w:rFonts w:ascii="Noor_Lotus" w:hAnsi="Noor_Lotus" w:cs="Noor_Lotus" w:hint="cs"/>
          <w:color w:val="6C3934"/>
          <w:sz w:val="21"/>
          <w:szCs w:val="21"/>
          <w:rtl/>
          <w:lang w:bidi="fa-IR"/>
        </w:rPr>
        <w:t>________________________________________</w:t>
      </w:r>
      <w:r>
        <w:rPr>
          <w:rFonts w:ascii="Noor_Lotus" w:hAnsi="Noor_Lotus" w:cs="Noor_Lotus" w:hint="cs"/>
          <w:color w:val="6C3934"/>
          <w:sz w:val="21"/>
          <w:szCs w:val="21"/>
          <w:rtl/>
          <w:lang w:bidi="fa-IR"/>
        </w:rPr>
        <w:br/>
        <w:t>خويى، سيد ابو القاسم موسوى، موسوعة الإمام الخوئي، 33 جلد، مؤسسة إحياء آثار الإمام الخوئي ره، قم - ايران، اول، 1418 ه‍ ق</w:t>
      </w:r>
    </w:p>
    <w:p w:rsidR="00C236A4" w:rsidRDefault="00C236A4"/>
    <w:p w:rsidR="00D84408" w:rsidRDefault="00D84408">
      <w:pPr>
        <w:rPr>
          <w:rFonts w:hint="cs"/>
          <w:rtl/>
          <w:lang w:bidi="fa-IR"/>
        </w:rPr>
      </w:pPr>
      <w:bookmarkStart w:id="0" w:name="_GoBack"/>
      <w:bookmarkEnd w:id="0"/>
    </w:p>
    <w:sectPr w:rsidR="00D844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Noor_Titr">
    <w:panose1 w:val="02000700000000000000"/>
    <w:charset w:val="00"/>
    <w:family w:val="auto"/>
    <w:pitch w:val="variable"/>
    <w:sig w:usb0="80002007" w:usb1="80002000" w:usb2="00000008" w:usb3="00000000" w:csb0="00000043" w:csb1="00000000"/>
  </w:font>
  <w:font w:name="Noor_Lotus">
    <w:panose1 w:val="02000400000000000000"/>
    <w:charset w:val="00"/>
    <w:family w:val="auto"/>
    <w:pitch w:val="variable"/>
    <w:sig w:usb0="80002007" w:usb1="80002000" w:usb2="00000008" w:usb3="00000000" w:csb0="00000043" w:csb1="00000000"/>
  </w:font>
  <w:font w:name="Noor_NazliBold">
    <w:panose1 w:val="00000000000000000000"/>
    <w:charset w:val="00"/>
    <w:family w:val="roman"/>
    <w:notTrueType/>
    <w:pitch w:val="default"/>
  </w:font>
  <w:font w:name="me_quran">
    <w:panose1 w:val="02060603050605020204"/>
    <w:charset w:val="B2"/>
    <w:family w:val="roman"/>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6A4"/>
    <w:rsid w:val="00C236A4"/>
    <w:rsid w:val="00D844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F9AA40-5B98-4260-89D5-D663EFB94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236A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488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4278</Words>
  <Characters>24388</Characters>
  <Application>Microsoft Office Word</Application>
  <DocSecurity>0</DocSecurity>
  <Lines>203</Lines>
  <Paragraphs>57</Paragraphs>
  <ScaleCrop>false</ScaleCrop>
  <Company/>
  <LinksUpToDate>false</LinksUpToDate>
  <CharactersWithSpaces>28609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مهمان</dc:creator>
  <cp:keywords/>
  <dc:description/>
  <cp:lastModifiedBy>مهمان</cp:lastModifiedBy>
  <cp:revision>1</cp:revision>
  <dcterms:created xsi:type="dcterms:W3CDTF">2016-12-19T15:14:00Z</dcterms:created>
  <dcterms:modified xsi:type="dcterms:W3CDTF">2016-12-19T15:15:00Z</dcterms:modified>
</cp:coreProperties>
</file>